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443C5E" w14:paraId="4B19ADA4" w14:textId="77777777" w:rsidTr="00CB10B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614F53FC" w14:textId="77777777" w:rsidR="002D5AAC" w:rsidRPr="000D009A" w:rsidRDefault="002D5AAC" w:rsidP="00881997">
            <w:pPr>
              <w:spacing w:line="20" w:lineRule="exact"/>
              <w:rPr>
                <w:rStyle w:val="nfasis"/>
                <w:sz w:val="2"/>
              </w:rPr>
            </w:pPr>
            <w:bookmarkStart w:id="0" w:name="_GoBack"/>
            <w:bookmarkEnd w:id="0"/>
          </w:p>
          <w:p w14:paraId="419C34B3" w14:textId="518B1FC9" w:rsidR="00881997" w:rsidRPr="000D009A" w:rsidRDefault="00881997" w:rsidP="00CB10BC">
            <w:pPr>
              <w:rPr>
                <w:rStyle w:val="nfasis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E9FA1" w14:textId="77777777" w:rsidR="002D5AAC" w:rsidRPr="000D009A" w:rsidRDefault="00BD33EE" w:rsidP="00CB10BC">
            <w:pPr>
              <w:spacing w:after="80" w:line="300" w:lineRule="exact"/>
              <w:rPr>
                <w:sz w:val="28"/>
              </w:rPr>
            </w:pPr>
            <w:r w:rsidRPr="000D009A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EACD9" w14:textId="5497BEC6" w:rsidR="002D5AAC" w:rsidRPr="007761E6" w:rsidRDefault="00F93BD3" w:rsidP="00167ADF">
            <w:pPr>
              <w:jc w:val="right"/>
              <w:rPr>
                <w:lang w:val="en-GB"/>
              </w:rPr>
            </w:pPr>
            <w:r w:rsidRPr="007761E6">
              <w:rPr>
                <w:sz w:val="40"/>
                <w:lang w:val="en-GB"/>
              </w:rPr>
              <w:t>CERD</w:t>
            </w:r>
            <w:r w:rsidRPr="007761E6">
              <w:rPr>
                <w:lang w:val="en-GB"/>
              </w:rPr>
              <w:t>/C/</w:t>
            </w:r>
            <w:r w:rsidR="003D7B20">
              <w:rPr>
                <w:lang w:val="en-GB"/>
              </w:rPr>
              <w:t>ARG</w:t>
            </w:r>
            <w:r w:rsidRPr="007761E6">
              <w:rPr>
                <w:lang w:val="en-GB"/>
              </w:rPr>
              <w:t>/CO/</w:t>
            </w:r>
            <w:r w:rsidR="003D7B20">
              <w:rPr>
                <w:lang w:val="en-GB"/>
              </w:rPr>
              <w:t>21-23</w:t>
            </w:r>
          </w:p>
        </w:tc>
      </w:tr>
      <w:tr w:rsidR="002D5AAC" w:rsidRPr="000D009A" w14:paraId="32E06534" w14:textId="77777777" w:rsidTr="00CB10B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2737E2" w14:textId="55BA792E" w:rsidR="002D5AAC" w:rsidRPr="000D009A" w:rsidRDefault="00B34DB7" w:rsidP="00CB10BC">
            <w:pPr>
              <w:spacing w:before="120"/>
              <w:jc w:val="center"/>
            </w:pPr>
            <w:r w:rsidRPr="000D009A">
              <w:rPr>
                <w:noProof/>
              </w:rPr>
              <w:drawing>
                <wp:inline distT="0" distB="0" distL="0" distR="0" wp14:anchorId="01098B2A" wp14:editId="67341FF2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97B006" w14:textId="1103FE9C" w:rsidR="002D5AAC" w:rsidRPr="000D009A" w:rsidRDefault="00160FF7" w:rsidP="00CB10BC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0D009A">
              <w:rPr>
                <w:b/>
                <w:sz w:val="34"/>
                <w:szCs w:val="34"/>
              </w:rPr>
              <w:t>Convención Internacional sobre</w:t>
            </w:r>
            <w:r w:rsidRPr="000D009A">
              <w:rPr>
                <w:b/>
                <w:sz w:val="34"/>
                <w:szCs w:val="34"/>
              </w:rPr>
              <w:br/>
              <w:t>la Eliminación de todas las Formas</w:t>
            </w:r>
            <w:r w:rsidRPr="000D009A"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87E45" w14:textId="22658E1C" w:rsidR="00F93BD3" w:rsidRPr="000D009A" w:rsidRDefault="00F93BD3" w:rsidP="00313A7E">
            <w:pPr>
              <w:spacing w:before="240"/>
            </w:pPr>
            <w:proofErr w:type="spellStart"/>
            <w:r w:rsidRPr="000D009A">
              <w:t>Distr</w:t>
            </w:r>
            <w:proofErr w:type="spellEnd"/>
            <w:r w:rsidRPr="000D009A">
              <w:t xml:space="preserve">. </w:t>
            </w:r>
            <w:r w:rsidR="00F25D52">
              <w:t xml:space="preserve">general </w:t>
            </w:r>
          </w:p>
          <w:p w14:paraId="4820D75D" w14:textId="7D0571CF" w:rsidR="00F93BD3" w:rsidRPr="000D009A" w:rsidRDefault="00E12CF8" w:rsidP="00313A7E">
            <w:r>
              <w:t>11</w:t>
            </w:r>
            <w:r w:rsidR="00375B29" w:rsidRPr="005720C5">
              <w:t xml:space="preserve"> de enero de 2017</w:t>
            </w:r>
          </w:p>
          <w:p w14:paraId="2EF2E167" w14:textId="77777777" w:rsidR="00F93BD3" w:rsidRPr="000D009A" w:rsidRDefault="00F93BD3" w:rsidP="00CB10BC">
            <w:pPr>
              <w:spacing w:line="240" w:lineRule="exact"/>
            </w:pPr>
          </w:p>
          <w:p w14:paraId="6FA547F1" w14:textId="77777777" w:rsidR="007D6B7A" w:rsidRPr="000D009A" w:rsidRDefault="007D6B7A" w:rsidP="007D6B7A">
            <w:pPr>
              <w:spacing w:line="240" w:lineRule="exact"/>
            </w:pPr>
            <w:r w:rsidRPr="000D009A">
              <w:t>Original: español</w:t>
            </w:r>
          </w:p>
          <w:p w14:paraId="5D05769A" w14:textId="77777777" w:rsidR="00981737" w:rsidRDefault="00981737" w:rsidP="006A5D0A">
            <w:pPr>
              <w:spacing w:line="240" w:lineRule="exact"/>
            </w:pPr>
          </w:p>
          <w:p w14:paraId="36BE055C" w14:textId="4B287FD3" w:rsidR="0028194C" w:rsidRPr="000D009A" w:rsidRDefault="0028194C" w:rsidP="0084092C">
            <w:pPr>
              <w:spacing w:line="240" w:lineRule="exact"/>
            </w:pPr>
          </w:p>
        </w:tc>
      </w:tr>
    </w:tbl>
    <w:p w14:paraId="65973A01" w14:textId="17A08E00" w:rsidR="00F93BD3" w:rsidRDefault="00F93BD3" w:rsidP="00981737">
      <w:pPr>
        <w:spacing w:before="120"/>
        <w:rPr>
          <w:b/>
          <w:sz w:val="24"/>
        </w:rPr>
      </w:pPr>
      <w:r w:rsidRPr="000D009A">
        <w:rPr>
          <w:b/>
          <w:sz w:val="24"/>
        </w:rPr>
        <w:t>Comité para la Eliminación de la Discriminación Racial</w:t>
      </w:r>
      <w:r w:rsidR="00E12CF8">
        <w:rPr>
          <w:b/>
          <w:sz w:val="24"/>
        </w:rPr>
        <w:t xml:space="preserve"> </w:t>
      </w:r>
    </w:p>
    <w:p w14:paraId="0D629E56" w14:textId="57E6625C" w:rsidR="00D5028C" w:rsidRPr="00D5028C" w:rsidRDefault="00F93BD3" w:rsidP="005720C5">
      <w:pPr>
        <w:pStyle w:val="HChG"/>
        <w:spacing w:before="320"/>
        <w:ind w:left="1138" w:right="1138" w:hanging="1138"/>
      </w:pPr>
      <w:r w:rsidRPr="000D009A">
        <w:tab/>
      </w:r>
      <w:r w:rsidRPr="000D009A">
        <w:tab/>
        <w:t xml:space="preserve">Observaciones finales sobre </w:t>
      </w:r>
      <w:r w:rsidR="00B50F96" w:rsidRPr="000D009A">
        <w:t>los informes</w:t>
      </w:r>
      <w:r w:rsidR="00D04831" w:rsidRPr="000D009A">
        <w:t xml:space="preserve"> </w:t>
      </w:r>
      <w:r w:rsidR="00B50F96" w:rsidRPr="000D009A">
        <w:t xml:space="preserve">periódicos </w:t>
      </w:r>
      <w:r w:rsidR="00411DF1">
        <w:t>21</w:t>
      </w:r>
      <w:r w:rsidR="007A33DB">
        <w:t>º</w:t>
      </w:r>
      <w:r w:rsidR="00411DF1">
        <w:t xml:space="preserve"> a 23</w:t>
      </w:r>
      <w:r w:rsidR="007A33DB">
        <w:t>º</w:t>
      </w:r>
      <w:r w:rsidR="003D7B20">
        <w:t xml:space="preserve"> </w:t>
      </w:r>
      <w:r w:rsidR="004353A1">
        <w:t xml:space="preserve">combinados </w:t>
      </w:r>
      <w:r w:rsidR="003D7B20">
        <w:t>de</w:t>
      </w:r>
      <w:r w:rsidR="00411DF1">
        <w:t xml:space="preserve"> la</w:t>
      </w:r>
      <w:r w:rsidR="003D7B20">
        <w:t xml:space="preserve"> Argentina</w:t>
      </w:r>
      <w:r w:rsidR="00F25D52" w:rsidRPr="005720C5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="00E12CF8">
        <w:rPr>
          <w:rStyle w:val="Refdenotaalpie"/>
          <w:b w:val="0"/>
          <w:bCs/>
          <w:sz w:val="20"/>
        </w:rPr>
        <w:t xml:space="preserve"> </w:t>
      </w:r>
    </w:p>
    <w:p w14:paraId="3D4AB470" w14:textId="55928055" w:rsidR="00107064" w:rsidRPr="000D009A" w:rsidRDefault="005720C5" w:rsidP="005720C5">
      <w:pPr>
        <w:pStyle w:val="SingleTxtG"/>
      </w:pPr>
      <w:r w:rsidRPr="000D009A">
        <w:t>1.</w:t>
      </w:r>
      <w:r w:rsidRPr="000D009A">
        <w:tab/>
      </w:r>
      <w:r w:rsidR="00107064" w:rsidRPr="000D009A">
        <w:t xml:space="preserve">El Comité examinó los informes periódicos </w:t>
      </w:r>
      <w:r w:rsidR="00411DF1">
        <w:t>21° a 23° de la Argentina</w:t>
      </w:r>
      <w:r w:rsidR="00107064" w:rsidRPr="000D009A">
        <w:t>, presentados e</w:t>
      </w:r>
      <w:r w:rsidR="00B50F96" w:rsidRPr="000D009A">
        <w:t>n un único documento (CERD/C/</w:t>
      </w:r>
      <w:r w:rsidR="00411DF1">
        <w:t>ARG</w:t>
      </w:r>
      <w:r w:rsidR="00B50F96" w:rsidRPr="000D009A">
        <w:t>/</w:t>
      </w:r>
      <w:r w:rsidR="00411DF1">
        <w:t>21-23</w:t>
      </w:r>
      <w:r w:rsidR="00107064" w:rsidRPr="000D009A">
        <w:t xml:space="preserve">), en sus sesiones </w:t>
      </w:r>
      <w:r w:rsidR="00A83DE0" w:rsidRPr="000D009A">
        <w:t>24</w:t>
      </w:r>
      <w:r w:rsidR="00411DF1">
        <w:t>90</w:t>
      </w:r>
      <w:r w:rsidR="00107064" w:rsidRPr="000D009A">
        <w:t xml:space="preserve">ª y </w:t>
      </w:r>
      <w:r w:rsidR="00411DF1">
        <w:t>24</w:t>
      </w:r>
      <w:r w:rsidR="00167ADF" w:rsidRPr="000D009A">
        <w:t>9</w:t>
      </w:r>
      <w:r w:rsidR="00411DF1">
        <w:t>1</w:t>
      </w:r>
      <w:r w:rsidR="00107064" w:rsidRPr="000D009A">
        <w:t>ª (</w:t>
      </w:r>
      <w:r w:rsidR="004618D2" w:rsidRPr="004618D2">
        <w:t xml:space="preserve">véase </w:t>
      </w:r>
      <w:r w:rsidR="00107064" w:rsidRPr="000D009A">
        <w:t>CERD</w:t>
      </w:r>
      <w:r w:rsidR="00107064" w:rsidRPr="009646C2">
        <w:t>/C/SR.</w:t>
      </w:r>
      <w:r w:rsidR="00A83DE0" w:rsidRPr="009646C2">
        <w:t>24</w:t>
      </w:r>
      <w:r w:rsidR="00411DF1" w:rsidRPr="009646C2">
        <w:t>90</w:t>
      </w:r>
      <w:r w:rsidR="00B50F96" w:rsidRPr="009646C2">
        <w:t xml:space="preserve"> y </w:t>
      </w:r>
      <w:r w:rsidR="00A83DE0" w:rsidRPr="009646C2">
        <w:t>24</w:t>
      </w:r>
      <w:r w:rsidR="00411DF1" w:rsidRPr="009646C2">
        <w:t>91</w:t>
      </w:r>
      <w:r w:rsidR="00107064" w:rsidRPr="009646C2">
        <w:t xml:space="preserve">), celebradas los días </w:t>
      </w:r>
      <w:r w:rsidR="00411DF1" w:rsidRPr="009646C2">
        <w:t>22</w:t>
      </w:r>
      <w:r w:rsidR="00107064" w:rsidRPr="009646C2">
        <w:t xml:space="preserve"> y </w:t>
      </w:r>
      <w:r w:rsidR="00411DF1" w:rsidRPr="009646C2">
        <w:t>23</w:t>
      </w:r>
      <w:r w:rsidR="00107064" w:rsidRPr="009646C2">
        <w:t xml:space="preserve"> de </w:t>
      </w:r>
      <w:r w:rsidR="00411DF1" w:rsidRPr="009646C2">
        <w:t>noviembre</w:t>
      </w:r>
      <w:r w:rsidR="00107064" w:rsidRPr="009646C2">
        <w:t xml:space="preserve"> de 201</w:t>
      </w:r>
      <w:r w:rsidR="00B50F96" w:rsidRPr="009646C2">
        <w:t>6</w:t>
      </w:r>
      <w:r w:rsidR="009646C2">
        <w:t>. En su</w:t>
      </w:r>
      <w:r w:rsidR="009D742F">
        <w:t>s</w:t>
      </w:r>
      <w:r w:rsidR="00107064" w:rsidRPr="009646C2">
        <w:t xml:space="preserve"> </w:t>
      </w:r>
      <w:r w:rsidR="009646C2">
        <w:t>sesi</w:t>
      </w:r>
      <w:r w:rsidR="009D742F">
        <w:t>o</w:t>
      </w:r>
      <w:r w:rsidR="009646C2">
        <w:t>n</w:t>
      </w:r>
      <w:r w:rsidR="009D742F">
        <w:t>es</w:t>
      </w:r>
      <w:r w:rsidR="00802BE0" w:rsidRPr="009646C2">
        <w:t xml:space="preserve"> </w:t>
      </w:r>
      <w:r w:rsidR="009D742F">
        <w:t>2506</w:t>
      </w:r>
      <w:r w:rsidR="00ED5BD9">
        <w:t>ª</w:t>
      </w:r>
      <w:r w:rsidR="009D742F">
        <w:t xml:space="preserve"> y </w:t>
      </w:r>
      <w:r w:rsidR="009646C2" w:rsidRPr="00694D34">
        <w:t>2507</w:t>
      </w:r>
      <w:r w:rsidR="00A54C29" w:rsidRPr="00694D34">
        <w:t>ª</w:t>
      </w:r>
      <w:r w:rsidR="009646C2">
        <w:t>, celebrada</w:t>
      </w:r>
      <w:r w:rsidR="00ED5BD9">
        <w:t xml:space="preserve">s los días </w:t>
      </w:r>
      <w:r w:rsidR="00CE2347">
        <w:t>2</w:t>
      </w:r>
      <w:r w:rsidR="009D742F">
        <w:t xml:space="preserve"> y </w:t>
      </w:r>
      <w:r w:rsidR="009646C2">
        <w:t>5</w:t>
      </w:r>
      <w:r w:rsidR="00A54C29">
        <w:t xml:space="preserve"> de </w:t>
      </w:r>
      <w:r w:rsidR="00411DF1">
        <w:t>diciembre</w:t>
      </w:r>
      <w:r w:rsidR="00A54C29">
        <w:t xml:space="preserve"> </w:t>
      </w:r>
      <w:r w:rsidR="00107064" w:rsidRPr="000D009A">
        <w:t>de 201</w:t>
      </w:r>
      <w:r w:rsidR="00B50F96" w:rsidRPr="000D009A">
        <w:t>6</w:t>
      </w:r>
      <w:r w:rsidR="00107064" w:rsidRPr="000D009A">
        <w:t>, aprobó las observaciones finales</w:t>
      </w:r>
      <w:r w:rsidR="00583258">
        <w:t xml:space="preserve"> que figuran a continuación</w:t>
      </w:r>
      <w:r w:rsidR="00107064" w:rsidRPr="000D009A">
        <w:t>.</w:t>
      </w:r>
    </w:p>
    <w:p w14:paraId="75F902A1" w14:textId="173FA6DF" w:rsidR="0006739D" w:rsidRPr="000D009A" w:rsidRDefault="006B129C" w:rsidP="00A04834">
      <w:pPr>
        <w:pStyle w:val="H1G"/>
        <w:spacing w:before="320"/>
        <w:ind w:left="1138" w:right="1138" w:hanging="1138"/>
      </w:pPr>
      <w:r w:rsidRPr="000D009A">
        <w:tab/>
        <w:t>A.</w:t>
      </w:r>
      <w:r w:rsidRPr="000D009A">
        <w:tab/>
      </w:r>
      <w:r w:rsidR="008703FC" w:rsidRPr="00667C03">
        <w:t>Introducción</w:t>
      </w:r>
    </w:p>
    <w:p w14:paraId="6CE6C170" w14:textId="43E8D079" w:rsidR="008703FC" w:rsidRPr="000D009A" w:rsidRDefault="005720C5" w:rsidP="005720C5">
      <w:pPr>
        <w:pStyle w:val="SingleTxtG"/>
      </w:pPr>
      <w:r w:rsidRPr="000D009A">
        <w:t>2.</w:t>
      </w:r>
      <w:r w:rsidRPr="000D009A">
        <w:tab/>
      </w:r>
      <w:r w:rsidR="008703FC" w:rsidRPr="000D009A">
        <w:t xml:space="preserve">El Comité </w:t>
      </w:r>
      <w:r w:rsidR="00704135" w:rsidRPr="000D009A">
        <w:t xml:space="preserve">agradece la presentación </w:t>
      </w:r>
      <w:r w:rsidR="008F74FE" w:rsidRPr="000D009A">
        <w:t xml:space="preserve">de los informes periódicos </w:t>
      </w:r>
      <w:r w:rsidR="000A7F2E">
        <w:t>21°</w:t>
      </w:r>
      <w:r w:rsidR="00374913">
        <w:t xml:space="preserve"> </w:t>
      </w:r>
      <w:r w:rsidR="008F74FE" w:rsidRPr="000D009A">
        <w:t>a</w:t>
      </w:r>
      <w:r w:rsidR="008513BC" w:rsidRPr="000D009A">
        <w:t xml:space="preserve"> </w:t>
      </w:r>
      <w:r w:rsidR="000A7F2E">
        <w:t>23°</w:t>
      </w:r>
      <w:r w:rsidR="00374913">
        <w:t xml:space="preserve"> </w:t>
      </w:r>
      <w:r w:rsidR="008513BC" w:rsidRPr="000D009A">
        <w:t xml:space="preserve">del Estado parte en un solo </w:t>
      </w:r>
      <w:r w:rsidR="008513BC" w:rsidRPr="004F107C">
        <w:t>documento</w:t>
      </w:r>
      <w:r w:rsidR="00324170" w:rsidRPr="004F107C">
        <w:t xml:space="preserve">. Asimismo, el </w:t>
      </w:r>
      <w:r w:rsidR="008513BC" w:rsidRPr="004F107C">
        <w:t>Comité manifiesta su</w:t>
      </w:r>
      <w:r w:rsidR="008513BC" w:rsidRPr="00324170">
        <w:t xml:space="preserve"> satisfacción con el diálogo </w:t>
      </w:r>
      <w:r w:rsidR="00704135" w:rsidRPr="00324170">
        <w:t>abierto</w:t>
      </w:r>
      <w:r w:rsidR="008513BC" w:rsidRPr="00324170">
        <w:t xml:space="preserve"> y constructivo que mantuvo con la </w:t>
      </w:r>
      <w:r w:rsidR="008513BC" w:rsidRPr="00581A32">
        <w:t>delegación</w:t>
      </w:r>
      <w:r w:rsidR="00093796" w:rsidRPr="00581A32">
        <w:t xml:space="preserve"> </w:t>
      </w:r>
      <w:r w:rsidR="00C565A0">
        <w:t xml:space="preserve">de alto nivel </w:t>
      </w:r>
      <w:r w:rsidR="008513BC" w:rsidRPr="00581A32">
        <w:t>del</w:t>
      </w:r>
      <w:r w:rsidR="008513BC" w:rsidRPr="00324170">
        <w:t xml:space="preserve"> Estado parte</w:t>
      </w:r>
      <w:r w:rsidR="00C70834" w:rsidRPr="00324170">
        <w:t xml:space="preserve"> y agradece la información adicional proporcionada después del diálogo</w:t>
      </w:r>
      <w:r w:rsidR="008513BC" w:rsidRPr="00324170">
        <w:t>.</w:t>
      </w:r>
      <w:r w:rsidR="008513BC" w:rsidRPr="000D009A">
        <w:t xml:space="preserve"> </w:t>
      </w:r>
    </w:p>
    <w:p w14:paraId="6B97D5B4" w14:textId="622C8EFE" w:rsidR="0006739D" w:rsidRPr="000D009A" w:rsidRDefault="006B129C" w:rsidP="00A04834">
      <w:pPr>
        <w:pStyle w:val="H1G"/>
        <w:spacing w:before="320"/>
        <w:ind w:left="1138" w:right="1138" w:hanging="1138"/>
      </w:pPr>
      <w:r w:rsidRPr="000D009A">
        <w:tab/>
        <w:t>B.</w:t>
      </w:r>
      <w:r w:rsidRPr="000D009A">
        <w:tab/>
      </w:r>
      <w:r w:rsidR="0006739D" w:rsidRPr="00667C03">
        <w:t xml:space="preserve">Aspectos </w:t>
      </w:r>
      <w:r w:rsidR="00366EA7" w:rsidRPr="00667C03">
        <w:t>p</w:t>
      </w:r>
      <w:r w:rsidR="0006739D" w:rsidRPr="00667C03">
        <w:t>ositivos</w:t>
      </w:r>
      <w:r w:rsidR="0006739D" w:rsidRPr="000D009A">
        <w:t xml:space="preserve"> </w:t>
      </w:r>
    </w:p>
    <w:p w14:paraId="7F35976F" w14:textId="3D9979F7" w:rsidR="00093796" w:rsidRDefault="005720C5" w:rsidP="005720C5">
      <w:pPr>
        <w:pStyle w:val="SingleTxtG"/>
      </w:pPr>
      <w:r>
        <w:t>3.</w:t>
      </w:r>
      <w:r>
        <w:tab/>
      </w:r>
      <w:r w:rsidR="00093796">
        <w:t>El Comité celebra la ratificación por el Estado parte de</w:t>
      </w:r>
      <w:r w:rsidR="008B020E">
        <w:t>l Protocolo Facultativo del Pacto Internacional de Derechos Económicos, Sociales y Culturales, el 24 de octubre de 2011</w:t>
      </w:r>
      <w:r w:rsidR="002E1103">
        <w:t>,</w:t>
      </w:r>
      <w:r w:rsidR="008B020E">
        <w:t xml:space="preserve"> y el Protocolo Facultativo de la </w:t>
      </w:r>
      <w:r w:rsidR="00093796">
        <w:t xml:space="preserve">Convención </w:t>
      </w:r>
      <w:r w:rsidR="008B020E">
        <w:t>sobre los Derechos del Niño relativo a un procedimiento de comunicaciones, el 14 de abril de 2015</w:t>
      </w:r>
      <w:r w:rsidR="00093796">
        <w:t>.</w:t>
      </w:r>
    </w:p>
    <w:p w14:paraId="39EF039F" w14:textId="33361A3E" w:rsidR="00BE25CA" w:rsidRPr="000D009A" w:rsidRDefault="005720C5" w:rsidP="005720C5">
      <w:pPr>
        <w:pStyle w:val="SingleTxtG"/>
      </w:pPr>
      <w:r w:rsidRPr="000D009A">
        <w:t>4.</w:t>
      </w:r>
      <w:r w:rsidRPr="000D009A">
        <w:tab/>
      </w:r>
      <w:r w:rsidR="00BE25CA" w:rsidRPr="000D009A">
        <w:t>El Comité acoge con satisfacción las medidas legislativas e institucionales adoptadas por</w:t>
      </w:r>
      <w:r w:rsidR="00F31BF3">
        <w:t xml:space="preserve"> el Estado parte durante el perí</w:t>
      </w:r>
      <w:r w:rsidR="00BE25CA" w:rsidRPr="000D009A">
        <w:t xml:space="preserve">odo examinado, en particular: </w:t>
      </w:r>
    </w:p>
    <w:p w14:paraId="0CBE9045" w14:textId="255E7187" w:rsidR="0078329C" w:rsidRPr="0017681E" w:rsidRDefault="005720C5" w:rsidP="005720C5">
      <w:pPr>
        <w:pStyle w:val="SingleTxtG"/>
        <w:ind w:firstLine="567"/>
      </w:pPr>
      <w:r w:rsidRPr="0017681E">
        <w:t>a)</w:t>
      </w:r>
      <w:r w:rsidRPr="0017681E">
        <w:tab/>
      </w:r>
      <w:r w:rsidR="00E362BD" w:rsidRPr="0017681E">
        <w:t>La creación de la Dirección de Promoción y Desarrollo de Prácticas contra la Discriminación, en 2011, por el Instituto Nacional contra la Discriminación, la Xenofobia y el Racismo (INADI)</w:t>
      </w:r>
      <w:r w:rsidR="00AA300A">
        <w:t>;</w:t>
      </w:r>
    </w:p>
    <w:p w14:paraId="56213546" w14:textId="27DEB1F9" w:rsidR="00E362BD" w:rsidRPr="0017681E" w:rsidRDefault="005720C5" w:rsidP="005720C5">
      <w:pPr>
        <w:pStyle w:val="SingleTxtG"/>
        <w:ind w:firstLine="567"/>
      </w:pPr>
      <w:r w:rsidRPr="0017681E">
        <w:t>b)</w:t>
      </w:r>
      <w:r w:rsidRPr="0017681E">
        <w:tab/>
      </w:r>
      <w:r w:rsidR="0078329C" w:rsidRPr="0017681E">
        <w:t>L</w:t>
      </w:r>
      <w:r w:rsidR="00F4484F" w:rsidRPr="0017681E">
        <w:t>a creación de</w:t>
      </w:r>
      <w:r w:rsidR="0078329C" w:rsidRPr="0017681E">
        <w:t xml:space="preserve"> </w:t>
      </w:r>
      <w:r w:rsidR="00F4484F" w:rsidRPr="0017681E">
        <w:t xml:space="preserve">la Defensoría del Público de Servicios de Comunicación Audiovisual, </w:t>
      </w:r>
      <w:r w:rsidR="00A3537B" w:rsidRPr="0017681E">
        <w:t xml:space="preserve">en 2012, </w:t>
      </w:r>
      <w:r w:rsidR="00F4484F" w:rsidRPr="0017681E">
        <w:t>por medio de la Ley 26522</w:t>
      </w:r>
      <w:r w:rsidR="00AA300A">
        <w:t>;</w:t>
      </w:r>
    </w:p>
    <w:p w14:paraId="629AE81F" w14:textId="4D895069" w:rsidR="00840EE3" w:rsidRPr="007855A3" w:rsidRDefault="005720C5" w:rsidP="005720C5">
      <w:pPr>
        <w:pStyle w:val="SingleTxtG"/>
        <w:ind w:firstLine="567"/>
      </w:pPr>
      <w:r w:rsidRPr="007855A3">
        <w:t>c)</w:t>
      </w:r>
      <w:r w:rsidRPr="007855A3">
        <w:tab/>
      </w:r>
      <w:r w:rsidR="00840EE3" w:rsidRPr="0017681E">
        <w:t xml:space="preserve">La adopción </w:t>
      </w:r>
      <w:r w:rsidR="008B020E" w:rsidRPr="0017681E">
        <w:t>del Decreto Presidencial 1584/2010, promulgado el 2 de noviembre</w:t>
      </w:r>
      <w:r w:rsidR="008B020E" w:rsidRPr="007855A3">
        <w:t xml:space="preserve"> de 2010, por el cual el día 12 de octubre pasa de denominarse “Día de la Raza” a “Día del Respeto a la Diversidad Cultural”</w:t>
      </w:r>
      <w:r w:rsidR="00AA300A">
        <w:t>;</w:t>
      </w:r>
    </w:p>
    <w:p w14:paraId="3E75E18D" w14:textId="42DDAED7" w:rsidR="00F4484F" w:rsidRPr="007855A3" w:rsidRDefault="005720C5" w:rsidP="005720C5">
      <w:pPr>
        <w:pStyle w:val="SingleTxtG"/>
        <w:ind w:firstLine="567"/>
      </w:pPr>
      <w:r w:rsidRPr="007855A3">
        <w:lastRenderedPageBreak/>
        <w:t>d)</w:t>
      </w:r>
      <w:r w:rsidRPr="007855A3">
        <w:tab/>
      </w:r>
      <w:r w:rsidR="007B0717" w:rsidRPr="007855A3">
        <w:t>El establecimiento del día 8 de noviembre como “Día Nacional de</w:t>
      </w:r>
      <w:r w:rsidR="00626D35" w:rsidRPr="007855A3">
        <w:t xml:space="preserve"> </w:t>
      </w:r>
      <w:r w:rsidR="007B0717" w:rsidRPr="007855A3">
        <w:t>l</w:t>
      </w:r>
      <w:r w:rsidR="00626D35" w:rsidRPr="007855A3">
        <w:t xml:space="preserve">as/los </w:t>
      </w:r>
      <w:proofErr w:type="spellStart"/>
      <w:r w:rsidR="00626D35" w:rsidRPr="007855A3">
        <w:t>Afroargentinas</w:t>
      </w:r>
      <w:proofErr w:type="spellEnd"/>
      <w:r w:rsidR="00626D35" w:rsidRPr="007855A3">
        <w:t>/os y de la Cultura</w:t>
      </w:r>
      <w:r w:rsidR="007B0717" w:rsidRPr="007855A3">
        <w:t xml:space="preserve"> afro” por medio de la Ley 26852</w:t>
      </w:r>
      <w:r w:rsidR="00584C76" w:rsidRPr="007855A3">
        <w:t>, de 20 de mayo de 2013</w:t>
      </w:r>
      <w:r w:rsidR="007855A3">
        <w:t>.</w:t>
      </w:r>
    </w:p>
    <w:p w14:paraId="0F1191F5" w14:textId="161BC83E" w:rsidR="00E23222" w:rsidRDefault="005720C5" w:rsidP="005720C5">
      <w:pPr>
        <w:pStyle w:val="SingleTxtG"/>
      </w:pPr>
      <w:r>
        <w:t>5.</w:t>
      </w:r>
      <w:r>
        <w:tab/>
      </w:r>
      <w:r w:rsidR="00E23222">
        <w:t xml:space="preserve">El Comité acoge con satisfacción que el Estado parte mantenga una invitación abierta y permanente a los titulares de mandatos de procedimientos especiales del Consejo de Derechos Humanos para que visiten </w:t>
      </w:r>
      <w:r w:rsidR="00433729">
        <w:t>e</w:t>
      </w:r>
      <w:r w:rsidR="00E23222">
        <w:t xml:space="preserve">l país. </w:t>
      </w:r>
    </w:p>
    <w:p w14:paraId="1E6BECF1" w14:textId="6882D882" w:rsidR="008703FC" w:rsidRPr="000D009A" w:rsidRDefault="006B129C" w:rsidP="00A04834">
      <w:pPr>
        <w:pStyle w:val="H1G"/>
        <w:spacing w:before="320"/>
        <w:ind w:left="1138" w:right="1138" w:hanging="1138"/>
      </w:pPr>
      <w:r w:rsidRPr="00B600AB">
        <w:rPr>
          <w:lang w:val="es-ES_tradnl"/>
        </w:rPr>
        <w:tab/>
      </w:r>
      <w:r w:rsidRPr="000D009A">
        <w:t>C.</w:t>
      </w:r>
      <w:r w:rsidRPr="000D009A">
        <w:tab/>
      </w:r>
      <w:r w:rsidR="008703FC" w:rsidRPr="000D009A">
        <w:t>Motivos de preocupación y recomendaciones</w:t>
      </w:r>
    </w:p>
    <w:p w14:paraId="05FA53FB" w14:textId="77777777" w:rsidR="00D93EA8" w:rsidRPr="00624085" w:rsidRDefault="000B7292" w:rsidP="00D93EA8">
      <w:pPr>
        <w:pStyle w:val="H23G"/>
        <w:spacing w:before="220"/>
        <w:ind w:left="1138" w:right="1138" w:hanging="1138"/>
      </w:pPr>
      <w:r>
        <w:tab/>
      </w:r>
      <w:r>
        <w:tab/>
      </w:r>
      <w:r w:rsidR="00D93EA8" w:rsidRPr="004F14EE">
        <w:rPr>
          <w:lang w:eastAsia="en-GB"/>
        </w:rPr>
        <w:t>Discriminación estructural</w:t>
      </w:r>
      <w:r w:rsidR="00D93EA8">
        <w:rPr>
          <w:lang w:eastAsia="en-GB"/>
        </w:rPr>
        <w:t xml:space="preserve"> </w:t>
      </w:r>
    </w:p>
    <w:p w14:paraId="6F74709D" w14:textId="70EED985" w:rsidR="00D93EA8" w:rsidRPr="00CE2347" w:rsidRDefault="005720C5" w:rsidP="005720C5">
      <w:pPr>
        <w:pStyle w:val="SingleTxtG"/>
        <w:rPr>
          <w:color w:val="000000"/>
          <w:lang w:eastAsia="en-GB"/>
        </w:rPr>
      </w:pPr>
      <w:r w:rsidRPr="00CE2347">
        <w:rPr>
          <w:color w:val="000000"/>
          <w:lang w:eastAsia="en-GB"/>
        </w:rPr>
        <w:t>6.</w:t>
      </w:r>
      <w:r w:rsidRPr="00CE2347">
        <w:rPr>
          <w:color w:val="000000"/>
          <w:lang w:eastAsia="en-GB"/>
        </w:rPr>
        <w:tab/>
      </w:r>
      <w:r w:rsidR="00D93EA8">
        <w:t xml:space="preserve">El </w:t>
      </w:r>
      <w:r w:rsidR="00D93EA8" w:rsidRPr="00624085">
        <w:t xml:space="preserve">Comité </w:t>
      </w:r>
      <w:r w:rsidR="00D93EA8">
        <w:t xml:space="preserve">continúa preocupado por </w:t>
      </w:r>
      <w:r w:rsidR="00D93EA8" w:rsidRPr="00624085">
        <w:t>la discriminación estructural de la cual continúan siendo víctimas los pueblos indígenas</w:t>
      </w:r>
      <w:r w:rsidR="00EB5CAF">
        <w:t xml:space="preserve"> y los afrodescendientes</w:t>
      </w:r>
      <w:r w:rsidR="00D93EA8" w:rsidRPr="00624085">
        <w:t xml:space="preserve">, así como la invisibilidad </w:t>
      </w:r>
      <w:r w:rsidR="00EB5CAF">
        <w:t xml:space="preserve">a la </w:t>
      </w:r>
      <w:r w:rsidR="00CE2347">
        <w:t xml:space="preserve">que </w:t>
      </w:r>
      <w:r w:rsidR="00EB5CAF">
        <w:t xml:space="preserve">se </w:t>
      </w:r>
      <w:r w:rsidR="00D93EA8" w:rsidRPr="00624085">
        <w:t>enfrentan</w:t>
      </w:r>
      <w:r w:rsidR="00D46D93">
        <w:t xml:space="preserve"> estos últimos</w:t>
      </w:r>
      <w:r w:rsidR="00941D11">
        <w:t xml:space="preserve"> respecto a </w:t>
      </w:r>
      <w:r w:rsidR="00B721D4">
        <w:t xml:space="preserve">sus </w:t>
      </w:r>
      <w:r w:rsidR="00626650">
        <w:t>derechos</w:t>
      </w:r>
      <w:r w:rsidR="00D93EA8">
        <w:t>.</w:t>
      </w:r>
      <w:r w:rsidR="00D93EA8" w:rsidRPr="00624085">
        <w:t xml:space="preserve"> </w:t>
      </w:r>
      <w:r w:rsidR="00EB5CAF">
        <w:t>La discriminación estructural limita el acceso de los pueblos indígenas y de los afrodescendientes al cumplimiento de los estándares internacion</w:t>
      </w:r>
      <w:r w:rsidR="00941D11">
        <w:t>al</w:t>
      </w:r>
      <w:r w:rsidR="00EB5CAF">
        <w:t xml:space="preserve">es </w:t>
      </w:r>
      <w:r w:rsidR="00D46D93">
        <w:t>mínimos</w:t>
      </w:r>
      <w:r w:rsidR="00EB5CAF">
        <w:t xml:space="preserve"> en el ámbit</w:t>
      </w:r>
      <w:r w:rsidR="00694D34">
        <w:t xml:space="preserve">o del desarrollo, incluidos los </w:t>
      </w:r>
      <w:r w:rsidR="00551805">
        <w:t xml:space="preserve">reflejados en los </w:t>
      </w:r>
      <w:r w:rsidR="00EB5CAF">
        <w:t xml:space="preserve">Objetivos de Desarrollo Sostenible. </w:t>
      </w:r>
      <w:r w:rsidR="00D93EA8">
        <w:rPr>
          <w:color w:val="000000"/>
          <w:lang w:eastAsia="en-GB"/>
        </w:rPr>
        <w:t xml:space="preserve">El Comité lamenta </w:t>
      </w:r>
      <w:r w:rsidR="00E362BD">
        <w:rPr>
          <w:color w:val="000000"/>
          <w:lang w:eastAsia="en-GB"/>
        </w:rPr>
        <w:t xml:space="preserve">la falta de acceso a servicios </w:t>
      </w:r>
      <w:r w:rsidR="00551805">
        <w:rPr>
          <w:color w:val="000000"/>
          <w:lang w:eastAsia="en-GB"/>
        </w:rPr>
        <w:t xml:space="preserve">básicos </w:t>
      </w:r>
      <w:r w:rsidR="00D93EA8">
        <w:rPr>
          <w:color w:val="000000"/>
          <w:lang w:eastAsia="en-GB"/>
        </w:rPr>
        <w:t xml:space="preserve">de las comunidades indígenas, </w:t>
      </w:r>
      <w:r w:rsidR="00E362BD">
        <w:rPr>
          <w:color w:val="000000"/>
          <w:lang w:eastAsia="en-GB"/>
        </w:rPr>
        <w:t xml:space="preserve">afrodescendientes y migrantes, particularmente aquellos en situación irregular. </w:t>
      </w:r>
      <w:r w:rsidR="00D93EA8">
        <w:rPr>
          <w:color w:val="000000"/>
          <w:lang w:eastAsia="en-GB"/>
        </w:rPr>
        <w:t xml:space="preserve">El Comité está </w:t>
      </w:r>
      <w:r w:rsidR="00653073">
        <w:rPr>
          <w:color w:val="000000"/>
          <w:lang w:eastAsia="en-GB"/>
        </w:rPr>
        <w:t>especialmente</w:t>
      </w:r>
      <w:r w:rsidR="00D93EA8">
        <w:rPr>
          <w:color w:val="000000"/>
          <w:lang w:eastAsia="en-GB"/>
        </w:rPr>
        <w:t xml:space="preserve"> preocupado por los casos de desnutrición de niños pertenecientes a co</w:t>
      </w:r>
      <w:r w:rsidR="002675C9">
        <w:rPr>
          <w:color w:val="000000"/>
          <w:lang w:eastAsia="en-GB"/>
        </w:rPr>
        <w:t xml:space="preserve">munidades indígenas. El Comité </w:t>
      </w:r>
      <w:r w:rsidR="00B721D4">
        <w:rPr>
          <w:color w:val="000000"/>
          <w:lang w:eastAsia="en-GB"/>
        </w:rPr>
        <w:t xml:space="preserve">también </w:t>
      </w:r>
      <w:r w:rsidR="002675C9">
        <w:rPr>
          <w:color w:val="000000"/>
          <w:lang w:eastAsia="en-GB"/>
        </w:rPr>
        <w:t>lamenta las</w:t>
      </w:r>
      <w:r w:rsidR="00D93EA8">
        <w:rPr>
          <w:color w:val="000000"/>
          <w:lang w:eastAsia="en-GB"/>
        </w:rPr>
        <w:t xml:space="preserve"> dificultades de acceso al agua de las comunidades indígenas, acceso que se ve además dificultado por la falta de titularización de sus tierras y las actividades de las empresas que explotan recursos naturales </w:t>
      </w:r>
      <w:r w:rsidR="00D93EA8" w:rsidRPr="00624085">
        <w:t>(arts. 1, 2 y 5).</w:t>
      </w:r>
    </w:p>
    <w:p w14:paraId="61112C39" w14:textId="6100A60B" w:rsidR="00D93EA8" w:rsidRPr="002F7E2F" w:rsidRDefault="005720C5" w:rsidP="005720C5">
      <w:pPr>
        <w:pStyle w:val="SingleTxtG"/>
        <w:rPr>
          <w:b/>
          <w:lang w:val="es-ES_tradnl" w:eastAsia="en-US"/>
        </w:rPr>
      </w:pPr>
      <w:r w:rsidRPr="002F7E2F">
        <w:rPr>
          <w:lang w:val="es-ES_tradnl" w:eastAsia="en-US"/>
        </w:rPr>
        <w:t>7.</w:t>
      </w:r>
      <w:r w:rsidRPr="002F7E2F">
        <w:rPr>
          <w:lang w:val="es-ES_tradnl" w:eastAsia="en-US"/>
        </w:rPr>
        <w:tab/>
      </w:r>
      <w:r w:rsidR="00D93EA8" w:rsidRPr="002F7E2F">
        <w:rPr>
          <w:b/>
          <w:lang w:val="es-ES_tradnl"/>
        </w:rPr>
        <w:t>El</w:t>
      </w:r>
      <w:r w:rsidR="00D93EA8" w:rsidRPr="002F7E2F">
        <w:rPr>
          <w:b/>
          <w:lang w:val="es-ES_tradnl" w:eastAsia="en-US"/>
        </w:rPr>
        <w:t xml:space="preserve"> Comité recomienda al Estado parte que: </w:t>
      </w:r>
    </w:p>
    <w:p w14:paraId="6ADA63D7" w14:textId="7D8EE579" w:rsidR="00D93EA8" w:rsidRPr="00EB5CAF" w:rsidRDefault="00E12CF8" w:rsidP="005720C5">
      <w:pPr>
        <w:pStyle w:val="SingleTxtG"/>
        <w:ind w:firstLine="567"/>
        <w:rPr>
          <w:b/>
        </w:rPr>
      </w:pPr>
      <w:r w:rsidRPr="005720C5">
        <w:rPr>
          <w:bCs/>
          <w:lang w:val="es-ES_tradnl"/>
        </w:rPr>
        <w:t>a)</w:t>
      </w:r>
      <w:r>
        <w:rPr>
          <w:b/>
          <w:lang w:val="es-ES_tradnl"/>
        </w:rPr>
        <w:tab/>
      </w:r>
      <w:r w:rsidR="007855A3" w:rsidRPr="002F7E2F">
        <w:rPr>
          <w:b/>
          <w:lang w:val="es-ES_tradnl"/>
        </w:rPr>
        <w:t>A</w:t>
      </w:r>
      <w:r w:rsidR="00D93EA8" w:rsidRPr="002F7E2F">
        <w:rPr>
          <w:b/>
          <w:lang w:val="es-ES_tradnl"/>
        </w:rPr>
        <w:t xml:space="preserve">dopte una política integral de lucha </w:t>
      </w:r>
      <w:proofErr w:type="spellStart"/>
      <w:r w:rsidR="00D93EA8" w:rsidRPr="002F7E2F">
        <w:rPr>
          <w:b/>
          <w:lang w:val="es-ES_tradnl"/>
        </w:rPr>
        <w:t>cont</w:t>
      </w:r>
      <w:r w:rsidR="00D93EA8" w:rsidRPr="007855A3">
        <w:rPr>
          <w:b/>
        </w:rPr>
        <w:t>ra</w:t>
      </w:r>
      <w:proofErr w:type="spellEnd"/>
      <w:r w:rsidR="00D93EA8" w:rsidRPr="007855A3">
        <w:rPr>
          <w:b/>
        </w:rPr>
        <w:t xml:space="preserve"> el racismo y la discriminación racial que promueva la inclusión social y reduzca los altos niveles de pobreza que afectan a los miembros de pueblos indígenas y los afrodescendientes</w:t>
      </w:r>
      <w:r w:rsidR="00FF044C">
        <w:rPr>
          <w:b/>
        </w:rPr>
        <w:t xml:space="preserve"> y migrantes, particularmente aquellos en situación irregular</w:t>
      </w:r>
      <w:r w:rsidR="00D93EA8" w:rsidRPr="007855A3">
        <w:rPr>
          <w:b/>
        </w:rPr>
        <w:t xml:space="preserve">. El </w:t>
      </w:r>
      <w:r w:rsidR="00D93EA8" w:rsidRPr="00EB5CAF">
        <w:rPr>
          <w:b/>
        </w:rPr>
        <w:t>Comité recomienda al Estado parte que redoble sus esfuerzos para hacer frente a la situación de malnutrición infantil que afecta particularmente a los pueblos indígenas</w:t>
      </w:r>
      <w:r w:rsidR="00443C5E">
        <w:rPr>
          <w:b/>
        </w:rPr>
        <w:t>;</w:t>
      </w:r>
      <w:r>
        <w:rPr>
          <w:b/>
        </w:rPr>
        <w:t xml:space="preserve"> </w:t>
      </w:r>
    </w:p>
    <w:p w14:paraId="573526D7" w14:textId="70EF5339" w:rsidR="00D93EA8" w:rsidRPr="007A5691" w:rsidRDefault="00E12CF8" w:rsidP="005720C5">
      <w:pPr>
        <w:pStyle w:val="SingleTxtG"/>
        <w:ind w:firstLine="567"/>
        <w:rPr>
          <w:bCs/>
        </w:rPr>
      </w:pPr>
      <w:r w:rsidRPr="005720C5">
        <w:rPr>
          <w:bCs/>
        </w:rPr>
        <w:t>b)</w:t>
      </w:r>
      <w:r>
        <w:rPr>
          <w:b/>
        </w:rPr>
        <w:tab/>
      </w:r>
      <w:r w:rsidR="00D93EA8" w:rsidRPr="00EB5CAF">
        <w:rPr>
          <w:b/>
        </w:rPr>
        <w:t>Tomando en cuenta su recomendación general núm. 32 (2009)</w:t>
      </w:r>
      <w:r w:rsidR="00FC6FD3">
        <w:rPr>
          <w:b/>
        </w:rPr>
        <w:t xml:space="preserve"> </w:t>
      </w:r>
      <w:r w:rsidR="00FC6FD3" w:rsidRPr="00FC6FD3">
        <w:rPr>
          <w:b/>
        </w:rPr>
        <w:t>sobre el s</w:t>
      </w:r>
      <w:r w:rsidR="00FC6FD3" w:rsidRPr="005720C5">
        <w:rPr>
          <w:b/>
        </w:rPr>
        <w:t>ignificado y alcance de las medidas especiales en la Convención</w:t>
      </w:r>
      <w:r w:rsidR="00D93EA8" w:rsidRPr="00EB5CAF">
        <w:rPr>
          <w:b/>
        </w:rPr>
        <w:t xml:space="preserve">, </w:t>
      </w:r>
      <w:r w:rsidR="00EB5CAF">
        <w:rPr>
          <w:b/>
        </w:rPr>
        <w:t>adopte</w:t>
      </w:r>
      <w:r w:rsidR="00D93EA8" w:rsidRPr="00EB5CAF">
        <w:rPr>
          <w:b/>
        </w:rPr>
        <w:t xml:space="preserve"> medidas especiales o de acción afirmativa orientadas a eliminar la discriminación estructural contra los pueblos indígenas y los afrodescendientes</w:t>
      </w:r>
      <w:r w:rsidR="00D93EA8" w:rsidRPr="007855A3">
        <w:rPr>
          <w:b/>
        </w:rPr>
        <w:t xml:space="preserve">. El Comité insta a desarrollar e implementar adecuadamente el </w:t>
      </w:r>
      <w:r w:rsidR="00DC14D4">
        <w:rPr>
          <w:b/>
        </w:rPr>
        <w:t>p</w:t>
      </w:r>
      <w:r w:rsidR="00D93EA8" w:rsidRPr="007855A3">
        <w:rPr>
          <w:b/>
        </w:rPr>
        <w:t>royecto “</w:t>
      </w:r>
      <w:proofErr w:type="spellStart"/>
      <w:r w:rsidR="00D93EA8" w:rsidRPr="007855A3">
        <w:rPr>
          <w:b/>
        </w:rPr>
        <w:t>Visibilización</w:t>
      </w:r>
      <w:proofErr w:type="spellEnd"/>
      <w:r w:rsidR="00D93EA8" w:rsidRPr="007855A3">
        <w:rPr>
          <w:b/>
        </w:rPr>
        <w:t xml:space="preserve"> y Promoción de Derechos de la Comunidad Afrodescendiente” para reconocer a la población afrodescendiente</w:t>
      </w:r>
      <w:r w:rsidR="00694D34">
        <w:rPr>
          <w:b/>
        </w:rPr>
        <w:t>;</w:t>
      </w:r>
      <w:r w:rsidR="00D93EA8" w:rsidRPr="007855A3">
        <w:rPr>
          <w:b/>
        </w:rPr>
        <w:t xml:space="preserve"> darle </w:t>
      </w:r>
      <w:r w:rsidR="00D93EA8" w:rsidRPr="00694D34">
        <w:rPr>
          <w:b/>
        </w:rPr>
        <w:t>mayor visibilidad, tomando en cuenta su recomendación general núm.</w:t>
      </w:r>
      <w:r w:rsidR="00243CFC" w:rsidRPr="00694D34">
        <w:rPr>
          <w:b/>
        </w:rPr>
        <w:t> </w:t>
      </w:r>
      <w:r w:rsidR="00D93EA8" w:rsidRPr="00694D34">
        <w:rPr>
          <w:b/>
        </w:rPr>
        <w:t>34 (2011)</w:t>
      </w:r>
      <w:r w:rsidR="00FC6FD3">
        <w:rPr>
          <w:b/>
        </w:rPr>
        <w:t xml:space="preserve"> sobre d</w:t>
      </w:r>
      <w:r w:rsidR="00FC6FD3" w:rsidRPr="005720C5">
        <w:rPr>
          <w:b/>
          <w:bCs/>
        </w:rPr>
        <w:t>iscriminación racial contra afrodescendientes</w:t>
      </w:r>
      <w:r w:rsidR="000219F0">
        <w:rPr>
          <w:b/>
        </w:rPr>
        <w:t>,</w:t>
      </w:r>
      <w:r w:rsidR="005D05EB" w:rsidRPr="00694D34">
        <w:rPr>
          <w:b/>
        </w:rPr>
        <w:t xml:space="preserve"> y para el reconocimiento de sus derechos</w:t>
      </w:r>
      <w:r w:rsidR="00443C5E">
        <w:rPr>
          <w:b/>
        </w:rPr>
        <w:t>;</w:t>
      </w:r>
    </w:p>
    <w:p w14:paraId="77359111" w14:textId="3E1F1228" w:rsidR="00EB5CAF" w:rsidRDefault="00E12CF8" w:rsidP="005720C5">
      <w:pPr>
        <w:pStyle w:val="SingleTxtG"/>
        <w:ind w:firstLine="567"/>
        <w:rPr>
          <w:b/>
          <w:bCs/>
        </w:rPr>
      </w:pPr>
      <w:r>
        <w:rPr>
          <w:bCs/>
        </w:rPr>
        <w:t>c)</w:t>
      </w:r>
      <w:r>
        <w:rPr>
          <w:bCs/>
        </w:rPr>
        <w:tab/>
      </w:r>
      <w:r w:rsidR="00941D11">
        <w:rPr>
          <w:b/>
          <w:bCs/>
        </w:rPr>
        <w:t xml:space="preserve">Adopte las medidas necesarias para </w:t>
      </w:r>
      <w:r w:rsidR="008727A2">
        <w:rPr>
          <w:b/>
          <w:bCs/>
        </w:rPr>
        <w:t xml:space="preserve">alcanzar </w:t>
      </w:r>
      <w:r w:rsidR="00EB5CAF" w:rsidRPr="00EB5CAF">
        <w:rPr>
          <w:b/>
          <w:bCs/>
        </w:rPr>
        <w:t xml:space="preserve">los Objetivos de Desarrollo Sostenible. </w:t>
      </w:r>
    </w:p>
    <w:p w14:paraId="2F845EAE" w14:textId="49085A21" w:rsidR="004469D7" w:rsidRDefault="00694D34">
      <w:pPr>
        <w:pStyle w:val="H23G"/>
        <w:ind w:left="0" w:firstLine="0"/>
      </w:pPr>
      <w:r>
        <w:rPr>
          <w:bCs/>
        </w:rPr>
        <w:tab/>
      </w:r>
      <w:r w:rsidR="007855A3" w:rsidRPr="00694D34">
        <w:rPr>
          <w:lang w:val="es-ES_tradnl"/>
        </w:rPr>
        <w:tab/>
      </w:r>
      <w:r w:rsidR="007E6C88" w:rsidRPr="004F14EE">
        <w:t>Políticas</w:t>
      </w:r>
      <w:r w:rsidR="00D93EA8" w:rsidRPr="004F14EE">
        <w:t xml:space="preserve"> </w:t>
      </w:r>
      <w:r w:rsidR="00DC14D4">
        <w:t>p</w:t>
      </w:r>
      <w:r w:rsidR="00756D2D" w:rsidRPr="004F14EE">
        <w:t>úblicas</w:t>
      </w:r>
      <w:r w:rsidR="00D93EA8" w:rsidRPr="00756D2D">
        <w:t xml:space="preserve"> </w:t>
      </w:r>
    </w:p>
    <w:p w14:paraId="1B78ED59" w14:textId="25B9B926" w:rsidR="00F743A5" w:rsidRDefault="005720C5" w:rsidP="005720C5">
      <w:pPr>
        <w:pStyle w:val="SingleTxtG"/>
        <w:rPr>
          <w:b/>
        </w:rPr>
      </w:pPr>
      <w:r>
        <w:t>8.</w:t>
      </w:r>
      <w:r>
        <w:tab/>
      </w:r>
      <w:r w:rsidR="00544473">
        <w:t xml:space="preserve">El Comité </w:t>
      </w:r>
      <w:r w:rsidR="00941D11">
        <w:t xml:space="preserve">toma nota del reconocimiento </w:t>
      </w:r>
      <w:r w:rsidR="008727A2">
        <w:t xml:space="preserve">por el Estado parte </w:t>
      </w:r>
      <w:r w:rsidR="00544473">
        <w:t>de</w:t>
      </w:r>
      <w:r w:rsidR="00756D2D">
        <w:t xml:space="preserve">l carácter </w:t>
      </w:r>
      <w:proofErr w:type="spellStart"/>
      <w:r w:rsidR="00756D2D">
        <w:t>pluriétnico</w:t>
      </w:r>
      <w:proofErr w:type="spellEnd"/>
      <w:r w:rsidR="00756D2D">
        <w:t xml:space="preserve"> y multicultural </w:t>
      </w:r>
      <w:r w:rsidR="008727A2">
        <w:t>de su población</w:t>
      </w:r>
      <w:r w:rsidR="003F3F89" w:rsidRPr="00626650">
        <w:t xml:space="preserve">. </w:t>
      </w:r>
      <w:r w:rsidR="00626650" w:rsidRPr="00626650">
        <w:t>Sin embargo, e</w:t>
      </w:r>
      <w:r w:rsidR="002675C9" w:rsidRPr="00626650">
        <w:t>l Comité nota con preocupació</w:t>
      </w:r>
      <w:r w:rsidR="0017681E" w:rsidRPr="00626650">
        <w:t>n</w:t>
      </w:r>
      <w:r w:rsidR="004406B5">
        <w:t xml:space="preserve"> que</w:t>
      </w:r>
      <w:r w:rsidR="001E48E5">
        <w:t>,</w:t>
      </w:r>
      <w:r w:rsidR="004406B5">
        <w:t xml:space="preserve"> a pesar de la existencia de normas relativas a la protección de los derechos de los pueblos indígenas, falta un marco legislativo completo y mecanismos adecuados que pongan en práctica de manera plena y efectiva estos derechos de manera uniforme en todo el territorio</w:t>
      </w:r>
      <w:r w:rsidR="00941D11">
        <w:t xml:space="preserve"> </w:t>
      </w:r>
      <w:r w:rsidR="00626650">
        <w:t xml:space="preserve">del Estado parte </w:t>
      </w:r>
      <w:r w:rsidR="00941D11">
        <w:t>(arts. 2 y 5)</w:t>
      </w:r>
      <w:r w:rsidR="004406B5">
        <w:t>.</w:t>
      </w:r>
      <w:r w:rsidR="004406B5" w:rsidRPr="004406B5" w:rsidDel="00667C03">
        <w:t xml:space="preserve"> </w:t>
      </w:r>
    </w:p>
    <w:p w14:paraId="7A47BA4F" w14:textId="0B5A63F7" w:rsidR="002E7219" w:rsidRDefault="005720C5" w:rsidP="005720C5">
      <w:pPr>
        <w:pStyle w:val="SingleTxtG"/>
        <w:keepLines/>
        <w:rPr>
          <w:b/>
        </w:rPr>
      </w:pPr>
      <w:r>
        <w:lastRenderedPageBreak/>
        <w:t>9.</w:t>
      </w:r>
      <w:r>
        <w:tab/>
      </w:r>
      <w:r w:rsidR="00F743A5" w:rsidRPr="0017681E">
        <w:rPr>
          <w:b/>
        </w:rPr>
        <w:t xml:space="preserve">El Comité </w:t>
      </w:r>
      <w:r w:rsidR="002675C9" w:rsidRPr="0017681E">
        <w:rPr>
          <w:b/>
        </w:rPr>
        <w:t>sugiere al Estado parte</w:t>
      </w:r>
      <w:r w:rsidR="00F743A5" w:rsidRPr="0017681E">
        <w:rPr>
          <w:b/>
        </w:rPr>
        <w:t xml:space="preserve"> </w:t>
      </w:r>
      <w:r w:rsidR="0017681E">
        <w:rPr>
          <w:b/>
        </w:rPr>
        <w:t xml:space="preserve">reflejar en su legislación la visión que tiene sobre </w:t>
      </w:r>
      <w:r w:rsidR="00FA57B9">
        <w:rPr>
          <w:b/>
        </w:rPr>
        <w:t xml:space="preserve">su carácter </w:t>
      </w:r>
      <w:proofErr w:type="spellStart"/>
      <w:r w:rsidR="00FA57B9">
        <w:rPr>
          <w:b/>
        </w:rPr>
        <w:t>plurié</w:t>
      </w:r>
      <w:r w:rsidR="00F743A5" w:rsidRPr="0017681E">
        <w:rPr>
          <w:b/>
        </w:rPr>
        <w:t>tnico</w:t>
      </w:r>
      <w:proofErr w:type="spellEnd"/>
      <w:r w:rsidR="00F743A5" w:rsidRPr="0017681E">
        <w:rPr>
          <w:b/>
        </w:rPr>
        <w:t xml:space="preserve"> y multicultural</w:t>
      </w:r>
      <w:r w:rsidR="004406B5" w:rsidRPr="0017681E">
        <w:rPr>
          <w:b/>
        </w:rPr>
        <w:t>.</w:t>
      </w:r>
      <w:r w:rsidR="00F743A5" w:rsidRPr="0017681E">
        <w:rPr>
          <w:b/>
        </w:rPr>
        <w:t xml:space="preserve"> </w:t>
      </w:r>
      <w:r w:rsidR="004406B5" w:rsidRPr="0017681E">
        <w:rPr>
          <w:b/>
        </w:rPr>
        <w:t xml:space="preserve">El Comité recomienda dar prioridad en la agenda legislativa a las iniciativas para la lucha contra la discriminación racial y la promoción de los derechos de los pueblos indígenas y de las personas afrodescendientes, en consulta </w:t>
      </w:r>
      <w:r w:rsidR="002675C9" w:rsidRPr="0017681E">
        <w:rPr>
          <w:b/>
        </w:rPr>
        <w:t xml:space="preserve">con </w:t>
      </w:r>
      <w:r w:rsidR="00EC2E6C">
        <w:rPr>
          <w:b/>
        </w:rPr>
        <w:t>estos grupos</w:t>
      </w:r>
      <w:r w:rsidR="004406B5" w:rsidRPr="0017681E">
        <w:rPr>
          <w:b/>
        </w:rPr>
        <w:t xml:space="preserve">, para </w:t>
      </w:r>
      <w:r w:rsidR="002675C9" w:rsidRPr="0017681E">
        <w:rPr>
          <w:b/>
        </w:rPr>
        <w:t xml:space="preserve">así </w:t>
      </w:r>
      <w:r w:rsidR="004406B5" w:rsidRPr="0017681E">
        <w:rPr>
          <w:b/>
        </w:rPr>
        <w:t>contar con un marco legal adecuado en todo el territorio</w:t>
      </w:r>
      <w:r w:rsidR="00D641CE" w:rsidRPr="0017681E">
        <w:rPr>
          <w:b/>
        </w:rPr>
        <w:t>.</w:t>
      </w:r>
    </w:p>
    <w:p w14:paraId="321CC643" w14:textId="3ABB2DC4" w:rsidR="006E52BB" w:rsidRPr="000D009A" w:rsidRDefault="004469D7" w:rsidP="00626D35">
      <w:pPr>
        <w:pStyle w:val="H23G"/>
        <w:spacing w:before="220"/>
        <w:ind w:left="0" w:right="1138" w:firstLine="0"/>
      </w:pPr>
      <w:r w:rsidRPr="00694D34">
        <w:rPr>
          <w:lang w:val="es-ES_tradnl"/>
        </w:rPr>
        <w:tab/>
      </w:r>
      <w:r w:rsidRPr="00694D34">
        <w:rPr>
          <w:lang w:val="es-ES_tradnl"/>
        </w:rPr>
        <w:tab/>
      </w:r>
      <w:r w:rsidR="006E52BB" w:rsidRPr="00B03D28">
        <w:t>Composic</w:t>
      </w:r>
      <w:r w:rsidR="00E060DC" w:rsidRPr="00B03D28">
        <w:t xml:space="preserve">ión demográfica de la población y datos </w:t>
      </w:r>
      <w:r w:rsidR="00E00EF8" w:rsidRPr="00B03D28">
        <w:t>estadísticos</w:t>
      </w:r>
    </w:p>
    <w:p w14:paraId="4217C558" w14:textId="6377F0B6" w:rsidR="006E52BB" w:rsidRPr="000D009A" w:rsidRDefault="005720C5" w:rsidP="005720C5">
      <w:pPr>
        <w:pStyle w:val="SingleTxtG"/>
        <w:rPr>
          <w:b/>
        </w:rPr>
      </w:pPr>
      <w:r w:rsidRPr="000D009A">
        <w:t>10.</w:t>
      </w:r>
      <w:r w:rsidRPr="000D009A">
        <w:tab/>
      </w:r>
      <w:r w:rsidR="000C39B8" w:rsidRPr="000D009A">
        <w:t xml:space="preserve">Si bien el Comité </w:t>
      </w:r>
      <w:r w:rsidR="00084308">
        <w:t>toma nota de</w:t>
      </w:r>
      <w:r w:rsidR="000C39B8" w:rsidRPr="000D009A">
        <w:t xml:space="preserve"> la información proporcionada por el Estado parte </w:t>
      </w:r>
      <w:r w:rsidR="0028372B">
        <w:t xml:space="preserve">en relación al Censo Nacional de </w:t>
      </w:r>
      <w:r w:rsidR="000C39B8" w:rsidRPr="000D009A">
        <w:t>Población</w:t>
      </w:r>
      <w:r w:rsidR="00CF6263">
        <w:t>, Hogares</w:t>
      </w:r>
      <w:r w:rsidR="000C39B8" w:rsidRPr="000D009A">
        <w:t xml:space="preserve"> y Vivienda</w:t>
      </w:r>
      <w:r w:rsidR="00372E35">
        <w:t>s</w:t>
      </w:r>
      <w:r w:rsidR="0028372B">
        <w:t xml:space="preserve"> 2010, lamenta </w:t>
      </w:r>
      <w:r w:rsidR="00A060B3">
        <w:t xml:space="preserve">que la pregunta de </w:t>
      </w:r>
      <w:proofErr w:type="spellStart"/>
      <w:r w:rsidR="00A060B3">
        <w:t>autoidentificación</w:t>
      </w:r>
      <w:proofErr w:type="spellEnd"/>
      <w:r w:rsidR="00A060B3">
        <w:t xml:space="preserve"> para la población indígena y afrodescendiente no se incorporara al formulario general,</w:t>
      </w:r>
      <w:r w:rsidR="001C1158">
        <w:t xml:space="preserve"> lo cual no permitió </w:t>
      </w:r>
      <w:r w:rsidR="00594118">
        <w:t xml:space="preserve">obtener un conocimiento </w:t>
      </w:r>
      <w:r w:rsidR="0017681E">
        <w:t>plen</w:t>
      </w:r>
      <w:r w:rsidR="00594118">
        <w:t>o</w:t>
      </w:r>
      <w:r w:rsidR="0017681E">
        <w:t xml:space="preserve"> </w:t>
      </w:r>
      <w:r w:rsidR="00594118">
        <w:t xml:space="preserve">de </w:t>
      </w:r>
      <w:r w:rsidR="001C1158">
        <w:t>la realidad indígena y afrodescendiente</w:t>
      </w:r>
      <w:r w:rsidR="00A060B3">
        <w:t xml:space="preserve">. </w:t>
      </w:r>
      <w:r w:rsidR="006C5ED9">
        <w:t xml:space="preserve">El Comité lamenta la falta de información sobre los gitanos. </w:t>
      </w:r>
      <w:r w:rsidR="00A060B3">
        <w:t xml:space="preserve">El Comité lamenta </w:t>
      </w:r>
      <w:r w:rsidR="002675C9">
        <w:t xml:space="preserve">también </w:t>
      </w:r>
      <w:r w:rsidR="0028372B">
        <w:t>la falta de datos</w:t>
      </w:r>
      <w:r w:rsidR="006F0300">
        <w:t xml:space="preserve"> desglosados</w:t>
      </w:r>
      <w:r w:rsidR="0028372B">
        <w:t xml:space="preserve"> </w:t>
      </w:r>
      <w:r w:rsidR="006F0300">
        <w:t xml:space="preserve">fiables </w:t>
      </w:r>
      <w:r w:rsidR="0028372B">
        <w:t xml:space="preserve">que </w:t>
      </w:r>
      <w:r w:rsidR="00594118">
        <w:t xml:space="preserve">le </w:t>
      </w:r>
      <w:r w:rsidR="0028372B">
        <w:t xml:space="preserve">permitan </w:t>
      </w:r>
      <w:r w:rsidR="006F0300">
        <w:t xml:space="preserve">evaluar </w:t>
      </w:r>
      <w:r w:rsidR="0028372B">
        <w:t>los niveles de discriminación</w:t>
      </w:r>
      <w:r w:rsidR="006F0300">
        <w:t xml:space="preserve"> de los grupos minoritarios</w:t>
      </w:r>
      <w:r w:rsidR="00A060B3">
        <w:t xml:space="preserve">; la falta de </w:t>
      </w:r>
      <w:r w:rsidR="00EF1843" w:rsidRPr="000D009A">
        <w:t xml:space="preserve">indicadores </w:t>
      </w:r>
      <w:r w:rsidR="00120871">
        <w:t xml:space="preserve">de derechos humanos y </w:t>
      </w:r>
      <w:r w:rsidR="00EF1843" w:rsidRPr="000D009A">
        <w:t xml:space="preserve">socioeconómicos </w:t>
      </w:r>
      <w:r w:rsidR="00594118">
        <w:t xml:space="preserve">para </w:t>
      </w:r>
      <w:r w:rsidR="00EF1843" w:rsidRPr="000D009A">
        <w:t xml:space="preserve">evaluar </w:t>
      </w:r>
      <w:r w:rsidR="00E060DC">
        <w:t xml:space="preserve">las condiciones de vida, así como </w:t>
      </w:r>
      <w:r w:rsidR="00EF1843" w:rsidRPr="000D009A">
        <w:t xml:space="preserve">los progresos realizados para la igual realización de los derechos contenidos en la </w:t>
      </w:r>
      <w:r w:rsidR="00EF1843" w:rsidRPr="0078780D">
        <w:t>Conve</w:t>
      </w:r>
      <w:r w:rsidR="004352B3" w:rsidRPr="0078780D">
        <w:t xml:space="preserve">nción </w:t>
      </w:r>
      <w:r w:rsidR="007855A3">
        <w:rPr>
          <w:szCs w:val="18"/>
        </w:rPr>
        <w:t>(art. 2, párr. </w:t>
      </w:r>
      <w:r w:rsidR="0088137B" w:rsidRPr="0078780D">
        <w:rPr>
          <w:szCs w:val="18"/>
        </w:rPr>
        <w:t>1)</w:t>
      </w:r>
      <w:r w:rsidR="000C39B8" w:rsidRPr="0078780D">
        <w:t>.</w:t>
      </w:r>
      <w:r w:rsidR="000C39B8" w:rsidRPr="000D009A">
        <w:t xml:space="preserve"> </w:t>
      </w:r>
    </w:p>
    <w:p w14:paraId="1908BA09" w14:textId="4DD4456B" w:rsidR="00624085" w:rsidRPr="00624085" w:rsidRDefault="005720C5" w:rsidP="005720C5">
      <w:pPr>
        <w:pStyle w:val="SingleTxtG"/>
        <w:rPr>
          <w:b/>
          <w:spacing w:val="-2"/>
        </w:rPr>
      </w:pPr>
      <w:r w:rsidRPr="00624085">
        <w:rPr>
          <w:spacing w:val="-2"/>
        </w:rPr>
        <w:t>11.</w:t>
      </w:r>
      <w:r w:rsidRPr="00624085">
        <w:rPr>
          <w:spacing w:val="-2"/>
        </w:rPr>
        <w:tab/>
      </w:r>
      <w:r w:rsidR="006F0300">
        <w:rPr>
          <w:b/>
          <w:spacing w:val="-2"/>
        </w:rPr>
        <w:t xml:space="preserve">A la luz de su recomendación </w:t>
      </w:r>
      <w:r w:rsidR="00AD7B4D" w:rsidRPr="00A04834">
        <w:rPr>
          <w:b/>
          <w:spacing w:val="-2"/>
        </w:rPr>
        <w:t xml:space="preserve">general </w:t>
      </w:r>
      <w:r w:rsidR="00EB4B97" w:rsidRPr="00A04834">
        <w:rPr>
          <w:b/>
          <w:spacing w:val="-2"/>
        </w:rPr>
        <w:t xml:space="preserve">núm. </w:t>
      </w:r>
      <w:r w:rsidR="00AD7B4D" w:rsidRPr="00A04834">
        <w:rPr>
          <w:b/>
          <w:spacing w:val="-2"/>
        </w:rPr>
        <w:t>4 (1973)</w:t>
      </w:r>
      <w:r w:rsidR="00E415D2" w:rsidRPr="00E415D2">
        <w:rPr>
          <w:b/>
        </w:rPr>
        <w:t xml:space="preserve"> </w:t>
      </w:r>
      <w:r w:rsidR="00AE093E">
        <w:rPr>
          <w:b/>
        </w:rPr>
        <w:t xml:space="preserve">sobre </w:t>
      </w:r>
      <w:r w:rsidR="00AE093E" w:rsidRPr="005720C5">
        <w:rPr>
          <w:b/>
        </w:rPr>
        <w:t>la presentación de informes por los Estados Partes</w:t>
      </w:r>
      <w:r w:rsidR="009F2B6C" w:rsidRPr="005720C5">
        <w:rPr>
          <w:b/>
        </w:rPr>
        <w:t>,</w:t>
      </w:r>
      <w:r w:rsidR="004352B3" w:rsidRPr="005720C5">
        <w:rPr>
          <w:b/>
        </w:rPr>
        <w:t xml:space="preserve"> </w:t>
      </w:r>
      <w:r w:rsidR="00E415D2" w:rsidRPr="00E415D2">
        <w:rPr>
          <w:b/>
        </w:rPr>
        <w:t xml:space="preserve">y </w:t>
      </w:r>
      <w:r w:rsidR="00975569">
        <w:rPr>
          <w:b/>
        </w:rPr>
        <w:t>sus</w:t>
      </w:r>
      <w:r w:rsidR="00E415D2" w:rsidRPr="00E415D2">
        <w:rPr>
          <w:b/>
        </w:rPr>
        <w:t xml:space="preserve"> directrices revisadas para la presentación de informes (</w:t>
      </w:r>
      <w:r w:rsidR="00347C7D" w:rsidRPr="00347C7D">
        <w:rPr>
          <w:b/>
        </w:rPr>
        <w:t>véase</w:t>
      </w:r>
      <w:r w:rsidR="00347C7D">
        <w:rPr>
          <w:b/>
        </w:rPr>
        <w:t xml:space="preserve"> </w:t>
      </w:r>
      <w:proofErr w:type="spellStart"/>
      <w:r w:rsidR="00E415D2" w:rsidRPr="00E415D2">
        <w:rPr>
          <w:b/>
        </w:rPr>
        <w:t>CERD</w:t>
      </w:r>
      <w:proofErr w:type="spellEnd"/>
      <w:r w:rsidR="00E415D2" w:rsidRPr="00E415D2">
        <w:rPr>
          <w:b/>
        </w:rPr>
        <w:t xml:space="preserve">/C/2007/1, </w:t>
      </w:r>
      <w:proofErr w:type="spellStart"/>
      <w:r w:rsidR="00E415D2" w:rsidRPr="00E415D2">
        <w:rPr>
          <w:b/>
        </w:rPr>
        <w:t>párrs</w:t>
      </w:r>
      <w:proofErr w:type="spellEnd"/>
      <w:r w:rsidR="00E415D2" w:rsidRPr="00E415D2">
        <w:rPr>
          <w:b/>
        </w:rPr>
        <w:t xml:space="preserve">. 10 y 12), </w:t>
      </w:r>
      <w:r w:rsidR="00E060DC">
        <w:rPr>
          <w:b/>
          <w:spacing w:val="-2"/>
        </w:rPr>
        <w:t>el Comité insta al Estado parte</w:t>
      </w:r>
      <w:r w:rsidR="00084308">
        <w:rPr>
          <w:b/>
          <w:spacing w:val="-2"/>
        </w:rPr>
        <w:t xml:space="preserve"> </w:t>
      </w:r>
      <w:r w:rsidR="00AD7B4D" w:rsidRPr="00A04834">
        <w:rPr>
          <w:b/>
          <w:spacing w:val="-2"/>
        </w:rPr>
        <w:t xml:space="preserve">a recopilar y proporcionar datos estadísticos fiables, actualizados y completos sobre la composición demográfica de la población, </w:t>
      </w:r>
      <w:r w:rsidR="00B56EF3" w:rsidRPr="00A04834">
        <w:rPr>
          <w:b/>
          <w:spacing w:val="-2"/>
        </w:rPr>
        <w:t xml:space="preserve">en particular </w:t>
      </w:r>
      <w:r w:rsidR="00E72939" w:rsidRPr="00A04834">
        <w:rPr>
          <w:b/>
          <w:spacing w:val="-2"/>
        </w:rPr>
        <w:t>sobre</w:t>
      </w:r>
      <w:r w:rsidR="006F0300">
        <w:rPr>
          <w:b/>
          <w:spacing w:val="-2"/>
        </w:rPr>
        <w:t xml:space="preserve"> </w:t>
      </w:r>
      <w:r w:rsidR="004B0DEF">
        <w:rPr>
          <w:b/>
          <w:spacing w:val="-2"/>
        </w:rPr>
        <w:t>l</w:t>
      </w:r>
      <w:r w:rsidR="00941D11">
        <w:rPr>
          <w:b/>
          <w:spacing w:val="-2"/>
        </w:rPr>
        <w:t>o</w:t>
      </w:r>
      <w:r w:rsidR="004B0DEF">
        <w:rPr>
          <w:b/>
          <w:spacing w:val="-2"/>
        </w:rPr>
        <w:t xml:space="preserve">s </w:t>
      </w:r>
      <w:r w:rsidR="00941D11">
        <w:rPr>
          <w:b/>
          <w:spacing w:val="-2"/>
        </w:rPr>
        <w:t xml:space="preserve">pueblos </w:t>
      </w:r>
      <w:r w:rsidR="006F0300">
        <w:rPr>
          <w:b/>
          <w:spacing w:val="-2"/>
        </w:rPr>
        <w:t xml:space="preserve">indígenas, </w:t>
      </w:r>
      <w:r w:rsidR="00DD6301">
        <w:rPr>
          <w:b/>
          <w:spacing w:val="-2"/>
        </w:rPr>
        <w:t xml:space="preserve">personas </w:t>
      </w:r>
      <w:r w:rsidR="006F0300">
        <w:rPr>
          <w:b/>
          <w:spacing w:val="-2"/>
        </w:rPr>
        <w:t>afro</w:t>
      </w:r>
      <w:r w:rsidR="004B0DEF">
        <w:rPr>
          <w:b/>
          <w:spacing w:val="-2"/>
        </w:rPr>
        <w:t xml:space="preserve">descendientes, </w:t>
      </w:r>
      <w:r w:rsidR="0078780D">
        <w:rPr>
          <w:b/>
          <w:spacing w:val="-2"/>
        </w:rPr>
        <w:t>gitanos</w:t>
      </w:r>
      <w:r w:rsidR="004B0DEF">
        <w:rPr>
          <w:b/>
          <w:spacing w:val="-2"/>
        </w:rPr>
        <w:t xml:space="preserve"> y migrantes</w:t>
      </w:r>
      <w:r w:rsidR="00AE093E">
        <w:rPr>
          <w:b/>
          <w:spacing w:val="-2"/>
        </w:rPr>
        <w:t>,</w:t>
      </w:r>
      <w:r w:rsidR="00B56EF3" w:rsidRPr="00A04834">
        <w:rPr>
          <w:b/>
          <w:spacing w:val="-2"/>
        </w:rPr>
        <w:t xml:space="preserve"> </w:t>
      </w:r>
      <w:r w:rsidR="00AD7B4D" w:rsidRPr="00A04834">
        <w:rPr>
          <w:b/>
          <w:spacing w:val="-2"/>
        </w:rPr>
        <w:t>así como</w:t>
      </w:r>
      <w:r w:rsidR="00626650">
        <w:rPr>
          <w:b/>
          <w:spacing w:val="-2"/>
        </w:rPr>
        <w:t xml:space="preserve"> de</w:t>
      </w:r>
      <w:r w:rsidR="00AD7B4D" w:rsidRPr="00A04834">
        <w:rPr>
          <w:b/>
          <w:spacing w:val="-2"/>
        </w:rPr>
        <w:t xml:space="preserve"> indicadores </w:t>
      </w:r>
      <w:r w:rsidR="00F5322C" w:rsidRPr="00A04834">
        <w:rPr>
          <w:b/>
          <w:spacing w:val="-2"/>
        </w:rPr>
        <w:t xml:space="preserve">de derechos </w:t>
      </w:r>
      <w:r w:rsidR="00696866">
        <w:rPr>
          <w:b/>
          <w:spacing w:val="-2"/>
        </w:rPr>
        <w:t>civiles, políticos, económicos y sociales</w:t>
      </w:r>
      <w:r w:rsidR="00B67DE3">
        <w:rPr>
          <w:b/>
          <w:spacing w:val="-2"/>
        </w:rPr>
        <w:t xml:space="preserve"> que reflejen el contenido de </w:t>
      </w:r>
      <w:r w:rsidR="00626650">
        <w:rPr>
          <w:b/>
          <w:spacing w:val="-2"/>
        </w:rPr>
        <w:t>dichos</w:t>
      </w:r>
      <w:r w:rsidR="00B67DE3">
        <w:rPr>
          <w:b/>
          <w:spacing w:val="-2"/>
        </w:rPr>
        <w:t xml:space="preserve"> derechos</w:t>
      </w:r>
      <w:r w:rsidR="00AD7B4D" w:rsidRPr="00B03D28">
        <w:rPr>
          <w:b/>
          <w:spacing w:val="-2"/>
        </w:rPr>
        <w:t xml:space="preserve"> </w:t>
      </w:r>
      <w:r w:rsidR="00626650">
        <w:rPr>
          <w:b/>
          <w:spacing w:val="-2"/>
        </w:rPr>
        <w:t xml:space="preserve">adecuadamente. Sírvanse </w:t>
      </w:r>
      <w:r w:rsidR="0014279C" w:rsidRPr="00B03D28">
        <w:rPr>
          <w:b/>
          <w:spacing w:val="-2"/>
        </w:rPr>
        <w:t>inclu</w:t>
      </w:r>
      <w:r w:rsidR="00626650">
        <w:rPr>
          <w:b/>
          <w:spacing w:val="-2"/>
        </w:rPr>
        <w:t>ir</w:t>
      </w:r>
      <w:r w:rsidR="0014279C" w:rsidRPr="00B03D28">
        <w:rPr>
          <w:b/>
          <w:spacing w:val="-2"/>
        </w:rPr>
        <w:t xml:space="preserve"> </w:t>
      </w:r>
      <w:r w:rsidR="00B03D28" w:rsidRPr="00B03D28">
        <w:rPr>
          <w:b/>
          <w:spacing w:val="-2"/>
        </w:rPr>
        <w:t xml:space="preserve">información </w:t>
      </w:r>
      <w:r w:rsidR="00626650">
        <w:rPr>
          <w:b/>
          <w:spacing w:val="-2"/>
        </w:rPr>
        <w:t>sobre</w:t>
      </w:r>
      <w:r w:rsidR="00B03D28" w:rsidRPr="00B03D28">
        <w:rPr>
          <w:b/>
          <w:spacing w:val="-2"/>
        </w:rPr>
        <w:t xml:space="preserve"> </w:t>
      </w:r>
      <w:r w:rsidR="0014279C" w:rsidRPr="00B03D28">
        <w:rPr>
          <w:b/>
          <w:spacing w:val="-2"/>
        </w:rPr>
        <w:t xml:space="preserve">la </w:t>
      </w:r>
      <w:r w:rsidR="00696866">
        <w:rPr>
          <w:b/>
          <w:spacing w:val="-2"/>
        </w:rPr>
        <w:t xml:space="preserve">evaluación de la </w:t>
      </w:r>
      <w:r w:rsidR="0014279C" w:rsidRPr="00B03D28">
        <w:rPr>
          <w:b/>
          <w:spacing w:val="-2"/>
        </w:rPr>
        <w:t xml:space="preserve">implementación de las presentes observaciones finales, el Plan Nacional de </w:t>
      </w:r>
      <w:r w:rsidR="00B03D28" w:rsidRPr="00B03D28">
        <w:rPr>
          <w:b/>
          <w:spacing w:val="-2"/>
        </w:rPr>
        <w:t xml:space="preserve">Acción de </w:t>
      </w:r>
      <w:r w:rsidR="0014279C" w:rsidRPr="00B03D28">
        <w:rPr>
          <w:b/>
          <w:spacing w:val="-2"/>
        </w:rPr>
        <w:t xml:space="preserve">Derechos Humanos </w:t>
      </w:r>
      <w:r w:rsidR="00D73E55">
        <w:rPr>
          <w:b/>
          <w:spacing w:val="-2"/>
        </w:rPr>
        <w:t xml:space="preserve">(2017-2020) que se está diseñando en la actualidad, </w:t>
      </w:r>
      <w:r w:rsidR="00B03D28" w:rsidRPr="00B03D28">
        <w:rPr>
          <w:b/>
          <w:spacing w:val="-2"/>
        </w:rPr>
        <w:t>y los programas de lucha contra la discriminación racial</w:t>
      </w:r>
      <w:r w:rsidR="00411395">
        <w:rPr>
          <w:b/>
          <w:spacing w:val="-2"/>
        </w:rPr>
        <w:t xml:space="preserve"> existentes</w:t>
      </w:r>
      <w:r w:rsidR="00D73E55">
        <w:rPr>
          <w:b/>
          <w:spacing w:val="-2"/>
        </w:rPr>
        <w:t xml:space="preserve">, incluyendo el Mapa Nacional de la Discriminación </w:t>
      </w:r>
      <w:r w:rsidR="009A7B74">
        <w:rPr>
          <w:b/>
          <w:spacing w:val="-2"/>
        </w:rPr>
        <w:t xml:space="preserve">2013, </w:t>
      </w:r>
      <w:r w:rsidR="00D73E55">
        <w:rPr>
          <w:b/>
          <w:spacing w:val="-2"/>
        </w:rPr>
        <w:t>del INADI</w:t>
      </w:r>
      <w:r w:rsidR="00AD7B4D" w:rsidRPr="00B03D28">
        <w:rPr>
          <w:b/>
          <w:spacing w:val="-2"/>
        </w:rPr>
        <w:t>.</w:t>
      </w:r>
      <w:r w:rsidR="00AD7B4D" w:rsidRPr="00A04834">
        <w:rPr>
          <w:b/>
          <w:spacing w:val="-2"/>
        </w:rPr>
        <w:t xml:space="preserve"> </w:t>
      </w:r>
    </w:p>
    <w:p w14:paraId="6C533A50" w14:textId="7ED0CACC" w:rsidR="002374C1" w:rsidRPr="000D009A" w:rsidRDefault="00624085" w:rsidP="00A04834">
      <w:pPr>
        <w:pStyle w:val="H23G"/>
        <w:spacing w:before="220"/>
        <w:ind w:left="1138" w:right="1138" w:hanging="1138"/>
      </w:pPr>
      <w:r w:rsidRPr="00624085">
        <w:tab/>
      </w:r>
      <w:r w:rsidRPr="00624085">
        <w:tab/>
      </w:r>
      <w:r w:rsidR="00553C04">
        <w:t>Tipificación</w:t>
      </w:r>
      <w:r w:rsidR="00553C04" w:rsidRPr="00B03D28">
        <w:t xml:space="preserve"> </w:t>
      </w:r>
      <w:r w:rsidR="002374C1" w:rsidRPr="00B03D28">
        <w:t xml:space="preserve">de </w:t>
      </w:r>
      <w:r w:rsidR="00AE093E">
        <w:t xml:space="preserve">la </w:t>
      </w:r>
      <w:r w:rsidR="002374C1" w:rsidRPr="00B03D28">
        <w:t>discriminación racial</w:t>
      </w:r>
      <w:r w:rsidR="002374C1" w:rsidRPr="000D009A">
        <w:t xml:space="preserve"> </w:t>
      </w:r>
    </w:p>
    <w:p w14:paraId="14364E68" w14:textId="441AA90E" w:rsidR="00E336FB" w:rsidRPr="000D009A" w:rsidRDefault="005720C5" w:rsidP="005720C5">
      <w:pPr>
        <w:pStyle w:val="SingleTxtG"/>
        <w:rPr>
          <w:b/>
        </w:rPr>
      </w:pPr>
      <w:r w:rsidRPr="000D009A">
        <w:t>12.</w:t>
      </w:r>
      <w:r w:rsidRPr="000D009A">
        <w:tab/>
      </w:r>
      <w:r w:rsidR="00376C08" w:rsidRPr="000D009A">
        <w:t>El Comité</w:t>
      </w:r>
      <w:r w:rsidR="00E336FB" w:rsidRPr="000D009A">
        <w:t xml:space="preserve"> continúa preocupado porque el Estado parte </w:t>
      </w:r>
      <w:r w:rsidR="000C4B20">
        <w:t xml:space="preserve">no ha tipificado </w:t>
      </w:r>
      <w:r w:rsidR="009F6443">
        <w:t xml:space="preserve">aún </w:t>
      </w:r>
      <w:r w:rsidR="000C4B20">
        <w:t xml:space="preserve">el delito de discriminación racial de acuerdo </w:t>
      </w:r>
      <w:r w:rsidR="00E336FB" w:rsidRPr="000D009A">
        <w:t>a</w:t>
      </w:r>
      <w:r w:rsidR="000C4B20">
        <w:t xml:space="preserve"> la Convención</w:t>
      </w:r>
      <w:r w:rsidR="009F6443">
        <w:t>.</w:t>
      </w:r>
      <w:r w:rsidR="000C4B20">
        <w:t xml:space="preserve"> </w:t>
      </w:r>
      <w:r w:rsidR="00746E85">
        <w:t>(</w:t>
      </w:r>
      <w:proofErr w:type="gramStart"/>
      <w:r w:rsidR="00746E85">
        <w:t>art</w:t>
      </w:r>
      <w:proofErr w:type="gramEnd"/>
      <w:r w:rsidR="00746E85">
        <w:t>. </w:t>
      </w:r>
      <w:r w:rsidR="00B368BE" w:rsidRPr="000D009A">
        <w:t>4)</w:t>
      </w:r>
      <w:r w:rsidR="00B96F93" w:rsidRPr="000D009A">
        <w:t>.</w:t>
      </w:r>
      <w:r w:rsidR="00E336FB" w:rsidRPr="000D009A">
        <w:t xml:space="preserve"> </w:t>
      </w:r>
    </w:p>
    <w:p w14:paraId="2C43DD45" w14:textId="35D4E9D0" w:rsidR="00EE7CA6" w:rsidRPr="000D009A" w:rsidRDefault="005720C5" w:rsidP="005720C5">
      <w:pPr>
        <w:pStyle w:val="SingleTxtG"/>
        <w:rPr>
          <w:b/>
          <w:i/>
        </w:rPr>
      </w:pPr>
      <w:r w:rsidRPr="000D009A">
        <w:t>13.</w:t>
      </w:r>
      <w:r w:rsidRPr="000D009A">
        <w:tab/>
      </w:r>
      <w:r w:rsidR="009F6443" w:rsidRPr="000D009A">
        <w:rPr>
          <w:b/>
        </w:rPr>
        <w:t xml:space="preserve">A la luz de </w:t>
      </w:r>
      <w:r w:rsidR="009F6443">
        <w:rPr>
          <w:b/>
        </w:rPr>
        <w:t>las</w:t>
      </w:r>
      <w:r w:rsidR="009F6443" w:rsidRPr="000D009A">
        <w:rPr>
          <w:b/>
        </w:rPr>
        <w:t xml:space="preserve"> </w:t>
      </w:r>
      <w:r w:rsidR="009F6443">
        <w:rPr>
          <w:b/>
        </w:rPr>
        <w:t>r</w:t>
      </w:r>
      <w:r w:rsidR="009F6443" w:rsidRPr="000D009A">
        <w:rPr>
          <w:b/>
        </w:rPr>
        <w:t xml:space="preserve">ecomendaciones generales </w:t>
      </w:r>
      <w:r w:rsidR="009F6443">
        <w:rPr>
          <w:b/>
        </w:rPr>
        <w:t>núm. 7 (1985)</w:t>
      </w:r>
      <w:r w:rsidR="00AE093E">
        <w:rPr>
          <w:b/>
        </w:rPr>
        <w:t xml:space="preserve"> sobre la aplicación del artículo 4 de la Convención</w:t>
      </w:r>
      <w:r w:rsidR="009F6443">
        <w:rPr>
          <w:b/>
        </w:rPr>
        <w:t>,</w:t>
      </w:r>
      <w:r w:rsidR="009F6443" w:rsidRPr="000D009A">
        <w:rPr>
          <w:b/>
        </w:rPr>
        <w:t xml:space="preserve"> </w:t>
      </w:r>
      <w:r w:rsidR="00863AA0">
        <w:rPr>
          <w:b/>
        </w:rPr>
        <w:t xml:space="preserve">y </w:t>
      </w:r>
      <w:r w:rsidR="009F6443">
        <w:rPr>
          <w:b/>
        </w:rPr>
        <w:t xml:space="preserve">núm. </w:t>
      </w:r>
      <w:r w:rsidR="009F6443" w:rsidRPr="000D009A">
        <w:rPr>
          <w:b/>
        </w:rPr>
        <w:t>15 (1993)</w:t>
      </w:r>
      <w:r w:rsidR="00AE093E">
        <w:rPr>
          <w:b/>
        </w:rPr>
        <w:t xml:space="preserve"> sobre el artículo 4 de la Convención</w:t>
      </w:r>
      <w:r w:rsidR="009F6443" w:rsidRPr="000D009A">
        <w:rPr>
          <w:b/>
        </w:rPr>
        <w:t xml:space="preserve">, </w:t>
      </w:r>
      <w:r w:rsidR="009F6443">
        <w:rPr>
          <w:b/>
        </w:rPr>
        <w:t xml:space="preserve">y la </w:t>
      </w:r>
      <w:r w:rsidR="009F6443" w:rsidRPr="0015611C">
        <w:rPr>
          <w:b/>
        </w:rPr>
        <w:t xml:space="preserve">recomendación </w:t>
      </w:r>
      <w:r w:rsidR="009F6443">
        <w:rPr>
          <w:b/>
        </w:rPr>
        <w:t xml:space="preserve">anterior </w:t>
      </w:r>
      <w:r w:rsidR="00411395" w:rsidRPr="00411395">
        <w:rPr>
          <w:b/>
        </w:rPr>
        <w:t>(véase CERD/C/ARG/CO/19-20, párr. 15)</w:t>
      </w:r>
      <w:r w:rsidR="00411395">
        <w:rPr>
          <w:b/>
        </w:rPr>
        <w:t>,</w:t>
      </w:r>
      <w:r w:rsidR="00411395" w:rsidRPr="00411395">
        <w:rPr>
          <w:b/>
        </w:rPr>
        <w:t xml:space="preserve"> </w:t>
      </w:r>
      <w:r w:rsidR="009F6443" w:rsidRPr="000D009A">
        <w:rPr>
          <w:b/>
        </w:rPr>
        <w:t xml:space="preserve">el Comité </w:t>
      </w:r>
      <w:r w:rsidR="00B03D28">
        <w:rPr>
          <w:b/>
        </w:rPr>
        <w:t>insta</w:t>
      </w:r>
      <w:r w:rsidR="009F6443" w:rsidRPr="000D009A">
        <w:rPr>
          <w:b/>
        </w:rPr>
        <w:t xml:space="preserve"> al Estado parte a que tipifique como delitos los actos de discriminación racial y </w:t>
      </w:r>
      <w:r w:rsidR="00553C04">
        <w:rPr>
          <w:b/>
        </w:rPr>
        <w:t>conductas</w:t>
      </w:r>
      <w:r w:rsidR="00553C04" w:rsidRPr="000D009A">
        <w:rPr>
          <w:b/>
        </w:rPr>
        <w:t xml:space="preserve"> </w:t>
      </w:r>
      <w:r w:rsidR="009F6443" w:rsidRPr="000D009A">
        <w:rPr>
          <w:b/>
        </w:rPr>
        <w:t xml:space="preserve">descritas en el artículo 4 de la Convención, tomando en cuenta la </w:t>
      </w:r>
      <w:r w:rsidR="009F6443">
        <w:rPr>
          <w:b/>
        </w:rPr>
        <w:t>r</w:t>
      </w:r>
      <w:r w:rsidR="009F6443" w:rsidRPr="000D009A">
        <w:rPr>
          <w:b/>
        </w:rPr>
        <w:t xml:space="preserve">ecomendación general </w:t>
      </w:r>
      <w:r w:rsidR="009F6443">
        <w:rPr>
          <w:b/>
        </w:rPr>
        <w:t xml:space="preserve">núm. </w:t>
      </w:r>
      <w:r w:rsidR="009F6443" w:rsidRPr="000D009A">
        <w:rPr>
          <w:b/>
        </w:rPr>
        <w:t>35 (2013)</w:t>
      </w:r>
      <w:r w:rsidR="00AE093E">
        <w:rPr>
          <w:b/>
        </w:rPr>
        <w:t xml:space="preserve"> </w:t>
      </w:r>
      <w:r w:rsidR="00772A49">
        <w:rPr>
          <w:b/>
        </w:rPr>
        <w:t xml:space="preserve">sobre </w:t>
      </w:r>
      <w:r w:rsidR="00772A49" w:rsidRPr="00772A49">
        <w:rPr>
          <w:b/>
        </w:rPr>
        <w:t>l</w:t>
      </w:r>
      <w:r w:rsidR="00772A49" w:rsidRPr="005720C5">
        <w:rPr>
          <w:b/>
        </w:rPr>
        <w:t>a lucha contra el discurso de odio racista</w:t>
      </w:r>
      <w:r w:rsidR="009F6443" w:rsidRPr="000D009A">
        <w:rPr>
          <w:b/>
        </w:rPr>
        <w:t xml:space="preserve">. </w:t>
      </w:r>
    </w:p>
    <w:p w14:paraId="5B7EDE36" w14:textId="047DFCA6" w:rsidR="008961EE" w:rsidRPr="000D009A" w:rsidRDefault="00746E85" w:rsidP="00A04834">
      <w:pPr>
        <w:pStyle w:val="H23G"/>
        <w:spacing w:before="220"/>
        <w:ind w:left="1138" w:right="1138" w:hanging="1138"/>
      </w:pPr>
      <w:r>
        <w:tab/>
      </w:r>
      <w:r>
        <w:tab/>
      </w:r>
      <w:r w:rsidR="008961EE" w:rsidRPr="00B03D28">
        <w:t>Defensor del Pueblo</w:t>
      </w:r>
      <w:r w:rsidR="00B03D28" w:rsidRPr="00B03D28">
        <w:t xml:space="preserve"> y Defensoría</w:t>
      </w:r>
      <w:r w:rsidR="00B03D28">
        <w:t xml:space="preserve"> del Pú</w:t>
      </w:r>
      <w:r w:rsidR="00B03D28" w:rsidRPr="00B03D28">
        <w:t>blico</w:t>
      </w:r>
      <w:r w:rsidR="00363BCC">
        <w:t xml:space="preserve"> de Servicios de Comunicación Audiovisual</w:t>
      </w:r>
    </w:p>
    <w:p w14:paraId="2D1F950F" w14:textId="78D8F250" w:rsidR="008961EE" w:rsidRPr="005E33FE" w:rsidRDefault="005720C5" w:rsidP="005720C5">
      <w:pPr>
        <w:pStyle w:val="SingleTxtG"/>
        <w:rPr>
          <w:lang w:val="es-ES_tradnl"/>
        </w:rPr>
      </w:pPr>
      <w:r w:rsidRPr="005E33FE">
        <w:rPr>
          <w:lang w:val="es-ES_tradnl"/>
        </w:rPr>
        <w:t>14.</w:t>
      </w:r>
      <w:r w:rsidRPr="005E33FE">
        <w:rPr>
          <w:lang w:val="es-ES_tradnl"/>
        </w:rPr>
        <w:tab/>
      </w:r>
      <w:r w:rsidR="00DE0CF6">
        <w:t xml:space="preserve">El </w:t>
      </w:r>
      <w:r w:rsidR="008961EE" w:rsidRPr="000D009A">
        <w:t xml:space="preserve">Comité </w:t>
      </w:r>
      <w:r w:rsidR="00DE0CF6">
        <w:t>lamenta que desde 2009 no se haya nombrado un Defensor del Pueblo</w:t>
      </w:r>
      <w:r w:rsidR="00363BCC">
        <w:t>. Asimismo</w:t>
      </w:r>
      <w:r w:rsidR="00F21474">
        <w:t>,</w:t>
      </w:r>
      <w:r w:rsidR="00363BCC">
        <w:t xml:space="preserve"> el Comité lamenta </w:t>
      </w:r>
      <w:r w:rsidR="00A3537B">
        <w:t>que</w:t>
      </w:r>
      <w:r w:rsidR="00D859E5">
        <w:t xml:space="preserve"> el cargo </w:t>
      </w:r>
      <w:r w:rsidR="00FA57B9">
        <w:t>de Defensoría del Pú</w:t>
      </w:r>
      <w:r w:rsidR="00D859E5">
        <w:t xml:space="preserve">blico de Servicios de Comunicación Audiovisual </w:t>
      </w:r>
      <w:r w:rsidR="00A3537B">
        <w:t>haya quedado</w:t>
      </w:r>
      <w:r w:rsidR="00D859E5">
        <w:t xml:space="preserve"> vacante</w:t>
      </w:r>
      <w:r w:rsidR="00DE0CF6">
        <w:t xml:space="preserve"> </w:t>
      </w:r>
      <w:r w:rsidR="00A3537B" w:rsidRPr="00626650">
        <w:t>recientemente</w:t>
      </w:r>
      <w:r w:rsidR="00363BCC" w:rsidRPr="00626650">
        <w:t xml:space="preserve"> </w:t>
      </w:r>
      <w:r w:rsidR="002E562C" w:rsidRPr="00626650">
        <w:t>(art</w:t>
      </w:r>
      <w:r w:rsidR="002E562C">
        <w:t>. 2</w:t>
      </w:r>
      <w:r w:rsidR="007855A3">
        <w:t>, párr. </w:t>
      </w:r>
      <w:r w:rsidR="008961EE" w:rsidRPr="005E33FE">
        <w:rPr>
          <w:lang w:val="es-ES_tradnl"/>
        </w:rPr>
        <w:t xml:space="preserve">1). </w:t>
      </w:r>
    </w:p>
    <w:p w14:paraId="06778F79" w14:textId="2B1C5440" w:rsidR="00CA103C" w:rsidRPr="00987034" w:rsidRDefault="005720C5" w:rsidP="005720C5">
      <w:pPr>
        <w:pStyle w:val="SingleTxtG"/>
        <w:rPr>
          <w:b/>
        </w:rPr>
      </w:pPr>
      <w:r w:rsidRPr="00987034">
        <w:t>15.</w:t>
      </w:r>
      <w:r w:rsidRPr="00987034">
        <w:tab/>
      </w:r>
      <w:r w:rsidR="00DE0CF6" w:rsidRPr="00CC539B">
        <w:rPr>
          <w:b/>
        </w:rPr>
        <w:t>A la luz de su anterior recomendación</w:t>
      </w:r>
      <w:r w:rsidR="00CC539B">
        <w:rPr>
          <w:b/>
        </w:rPr>
        <w:t xml:space="preserve"> </w:t>
      </w:r>
      <w:r w:rsidR="00CC539B" w:rsidRPr="00DE0CF6">
        <w:rPr>
          <w:b/>
        </w:rPr>
        <w:t xml:space="preserve">(véase </w:t>
      </w:r>
      <w:r w:rsidR="00CC539B">
        <w:rPr>
          <w:b/>
        </w:rPr>
        <w:t>CERD/C/ARG/CO/19-20, párr.</w:t>
      </w:r>
      <w:r w:rsidR="00E12CF8">
        <w:rPr>
          <w:b/>
        </w:rPr>
        <w:t> </w:t>
      </w:r>
      <w:r w:rsidR="00CC539B">
        <w:rPr>
          <w:b/>
        </w:rPr>
        <w:t>16</w:t>
      </w:r>
      <w:r w:rsidR="00CC539B" w:rsidRPr="00DE0CF6">
        <w:rPr>
          <w:b/>
        </w:rPr>
        <w:t>)</w:t>
      </w:r>
      <w:r w:rsidR="00DE0CF6" w:rsidRPr="00DE0CF6">
        <w:rPr>
          <w:b/>
        </w:rPr>
        <w:t xml:space="preserve">, el Comité </w:t>
      </w:r>
      <w:r w:rsidR="00D16378">
        <w:rPr>
          <w:b/>
        </w:rPr>
        <w:t>urge</w:t>
      </w:r>
      <w:r w:rsidR="00DE0CF6" w:rsidRPr="00DE0CF6">
        <w:rPr>
          <w:b/>
        </w:rPr>
        <w:t xml:space="preserve"> al Estado parte </w:t>
      </w:r>
      <w:r w:rsidR="008961EE" w:rsidRPr="000D009A">
        <w:rPr>
          <w:b/>
        </w:rPr>
        <w:t>a</w:t>
      </w:r>
      <w:r w:rsidR="004E06E0" w:rsidRPr="000D009A">
        <w:rPr>
          <w:b/>
        </w:rPr>
        <w:t xml:space="preserve"> </w:t>
      </w:r>
      <w:r w:rsidR="00D16378">
        <w:rPr>
          <w:b/>
        </w:rPr>
        <w:t xml:space="preserve">acelerar </w:t>
      </w:r>
      <w:r w:rsidR="004E06E0" w:rsidRPr="000D009A">
        <w:rPr>
          <w:b/>
        </w:rPr>
        <w:t>todas las medidas necesarias para</w:t>
      </w:r>
      <w:r w:rsidR="008961EE" w:rsidRPr="000D009A">
        <w:rPr>
          <w:b/>
        </w:rPr>
        <w:t xml:space="preserve"> </w:t>
      </w:r>
      <w:r w:rsidR="004E06E0" w:rsidRPr="000D009A">
        <w:rPr>
          <w:b/>
        </w:rPr>
        <w:t>proceder al nombramiento del Defensor del Pueblo mediante</w:t>
      </w:r>
      <w:r w:rsidR="008961EE" w:rsidRPr="000D009A">
        <w:rPr>
          <w:b/>
        </w:rPr>
        <w:t xml:space="preserve"> un proceso de selección y </w:t>
      </w:r>
      <w:r w:rsidR="00925539">
        <w:rPr>
          <w:b/>
        </w:rPr>
        <w:t xml:space="preserve">designación </w:t>
      </w:r>
      <w:r w:rsidR="008961EE" w:rsidRPr="000D009A">
        <w:rPr>
          <w:b/>
        </w:rPr>
        <w:t>que sea transparente y participativo</w:t>
      </w:r>
      <w:r w:rsidR="00F773A2">
        <w:rPr>
          <w:b/>
        </w:rPr>
        <w:t xml:space="preserve">, </w:t>
      </w:r>
      <w:r w:rsidR="00F773A2" w:rsidRPr="002D13F5">
        <w:rPr>
          <w:b/>
        </w:rPr>
        <w:t>en el que prevalezca el mérito, la capacidad y la integridad</w:t>
      </w:r>
      <w:r w:rsidR="00863AA0">
        <w:rPr>
          <w:b/>
        </w:rPr>
        <w:t>,</w:t>
      </w:r>
      <w:r w:rsidR="00D859E5">
        <w:rPr>
          <w:b/>
        </w:rPr>
        <w:t xml:space="preserve"> así como </w:t>
      </w:r>
      <w:r w:rsidR="001D37BE">
        <w:rPr>
          <w:b/>
        </w:rPr>
        <w:t>a</w:t>
      </w:r>
      <w:r w:rsidR="00363BCC">
        <w:rPr>
          <w:b/>
        </w:rPr>
        <w:t xml:space="preserve">l representante de </w:t>
      </w:r>
      <w:r w:rsidR="001D37BE">
        <w:rPr>
          <w:b/>
        </w:rPr>
        <w:t>l</w:t>
      </w:r>
      <w:r w:rsidR="00363BCC">
        <w:rPr>
          <w:b/>
        </w:rPr>
        <w:t>a</w:t>
      </w:r>
      <w:r w:rsidR="001D37BE">
        <w:rPr>
          <w:b/>
        </w:rPr>
        <w:t xml:space="preserve"> </w:t>
      </w:r>
      <w:r w:rsidR="001D37BE" w:rsidRPr="00363BCC">
        <w:rPr>
          <w:b/>
        </w:rPr>
        <w:t>Defensor</w:t>
      </w:r>
      <w:r w:rsidR="00363BCC">
        <w:rPr>
          <w:b/>
        </w:rPr>
        <w:t>ía</w:t>
      </w:r>
      <w:r w:rsidR="00D859E5">
        <w:rPr>
          <w:b/>
        </w:rPr>
        <w:t xml:space="preserve"> del P</w:t>
      </w:r>
      <w:r w:rsidR="00363BCC">
        <w:rPr>
          <w:b/>
        </w:rPr>
        <w:t>ú</w:t>
      </w:r>
      <w:r w:rsidR="00D859E5">
        <w:rPr>
          <w:b/>
        </w:rPr>
        <w:t>blico de Servicios de Comunicación Audiovisual</w:t>
      </w:r>
      <w:r w:rsidR="008961EE" w:rsidRPr="000D009A">
        <w:rPr>
          <w:b/>
        </w:rPr>
        <w:t xml:space="preserve">. </w:t>
      </w:r>
    </w:p>
    <w:p w14:paraId="27A3C887" w14:textId="12EC14F3" w:rsidR="00880CCC" w:rsidRPr="007855A3" w:rsidRDefault="007855A3" w:rsidP="007855A3">
      <w:pPr>
        <w:pStyle w:val="H23G"/>
      </w:pPr>
      <w:r>
        <w:tab/>
      </w:r>
      <w:r>
        <w:tab/>
      </w:r>
      <w:r w:rsidR="00846B0A" w:rsidRPr="007855A3">
        <w:t>Fortalecimiento Institucional</w:t>
      </w:r>
    </w:p>
    <w:p w14:paraId="149B4D9C" w14:textId="40918EB4" w:rsidR="009170D7" w:rsidRPr="009F1CE0" w:rsidRDefault="005720C5" w:rsidP="005720C5">
      <w:pPr>
        <w:pStyle w:val="SingleTxtG"/>
      </w:pPr>
      <w:r w:rsidRPr="009F1CE0">
        <w:t>16.</w:t>
      </w:r>
      <w:r w:rsidRPr="009F1CE0">
        <w:tab/>
      </w:r>
      <w:r w:rsidR="009170D7" w:rsidRPr="006B4842">
        <w:t>El Comité</w:t>
      </w:r>
      <w:r w:rsidR="009C04AF" w:rsidRPr="006B4842">
        <w:t xml:space="preserve"> lamenta </w:t>
      </w:r>
      <w:r w:rsidR="00AC5D8F">
        <w:t xml:space="preserve">la falta de una participación plena y </w:t>
      </w:r>
      <w:r w:rsidR="00B03D28">
        <w:t>sistemática</w:t>
      </w:r>
      <w:r w:rsidR="00AC5D8F">
        <w:t xml:space="preserve"> de la comunidad indígena </w:t>
      </w:r>
      <w:r w:rsidR="00FB2247">
        <w:t>en organizaciones que tienen por objetivo su representación</w:t>
      </w:r>
      <w:r w:rsidR="00465F1E">
        <w:t xml:space="preserve">, tales como </w:t>
      </w:r>
      <w:r w:rsidR="00AC5D8F">
        <w:t>el Instituto Nacio</w:t>
      </w:r>
      <w:r w:rsidR="00846B0A">
        <w:t>nal de Asuntos Indígenas</w:t>
      </w:r>
      <w:r w:rsidR="00863AA0">
        <w:t xml:space="preserve"> (INAI)</w:t>
      </w:r>
      <w:r w:rsidR="00846B0A">
        <w:t xml:space="preserve">, </w:t>
      </w:r>
      <w:r w:rsidR="00AC5D8F">
        <w:t xml:space="preserve">el Consejo de Participación Indígena </w:t>
      </w:r>
      <w:r w:rsidR="00846B0A">
        <w:t>y el Consejo Consultivo y Participativo de los Pueblos Indígenas</w:t>
      </w:r>
      <w:r w:rsidR="00AC5D8F">
        <w:t xml:space="preserve">. </w:t>
      </w:r>
      <w:r w:rsidR="00CF36D7">
        <w:t xml:space="preserve">El Comité </w:t>
      </w:r>
      <w:r w:rsidR="00880CCC">
        <w:t>toma nota del incremento presupuestario del INAI</w:t>
      </w:r>
      <w:r w:rsidR="00863AA0">
        <w:t>. S</w:t>
      </w:r>
      <w:r w:rsidR="00880CCC">
        <w:t>in embargo</w:t>
      </w:r>
      <w:r w:rsidR="00863AA0">
        <w:t>,</w:t>
      </w:r>
      <w:r w:rsidR="00880CCC">
        <w:t xml:space="preserve"> </w:t>
      </w:r>
      <w:r w:rsidR="00A3537B">
        <w:t>lamenta</w:t>
      </w:r>
      <w:r w:rsidR="00CC539B">
        <w:t>: a)</w:t>
      </w:r>
      <w:r w:rsidR="00880CCC">
        <w:t xml:space="preserve"> que</w:t>
      </w:r>
      <w:r w:rsidR="00CC539B">
        <w:t xml:space="preserve"> </w:t>
      </w:r>
      <w:r w:rsidR="00A3537B">
        <w:t xml:space="preserve">la </w:t>
      </w:r>
      <w:r w:rsidR="00880CCC">
        <w:t xml:space="preserve">partida </w:t>
      </w:r>
      <w:r w:rsidR="00880CCC" w:rsidRPr="00846B0A">
        <w:t xml:space="preserve">presupuestaria </w:t>
      </w:r>
      <w:r w:rsidR="00A3537B">
        <w:t xml:space="preserve">pueda ser </w:t>
      </w:r>
      <w:r w:rsidR="009F1ADE">
        <w:t>in</w:t>
      </w:r>
      <w:r w:rsidR="00A3537B">
        <w:t>suficiente</w:t>
      </w:r>
      <w:r w:rsidR="00880CCC" w:rsidRPr="00846B0A">
        <w:t xml:space="preserve"> para </w:t>
      </w:r>
      <w:r w:rsidR="00B03D28">
        <w:t>el</w:t>
      </w:r>
      <w:r w:rsidR="00880CCC" w:rsidRPr="00846B0A">
        <w:t xml:space="preserve"> desarrollo efectivo de sus funciones; </w:t>
      </w:r>
      <w:r w:rsidR="00CC539B">
        <w:t xml:space="preserve">b) </w:t>
      </w:r>
      <w:r w:rsidR="009F1CE0" w:rsidRPr="00846B0A">
        <w:t xml:space="preserve">la </w:t>
      </w:r>
      <w:r w:rsidR="00880CCC" w:rsidRPr="00846B0A">
        <w:t xml:space="preserve">falta de una </w:t>
      </w:r>
      <w:r w:rsidR="00880CCC" w:rsidRPr="00CC539B">
        <w:t>adecuada presen</w:t>
      </w:r>
      <w:r w:rsidR="009F1CE0" w:rsidRPr="00CC539B">
        <w:t>cia a nivel provincia</w:t>
      </w:r>
      <w:r w:rsidR="00CC539B" w:rsidRPr="00CC539B">
        <w:t>l del INAI;</w:t>
      </w:r>
      <w:r w:rsidR="00E12CF8">
        <w:t xml:space="preserve"> </w:t>
      </w:r>
      <w:r w:rsidR="00A3537B" w:rsidRPr="00CC539B">
        <w:t xml:space="preserve">y </w:t>
      </w:r>
      <w:r w:rsidR="00CC539B" w:rsidRPr="00CC539B">
        <w:t xml:space="preserve">c) </w:t>
      </w:r>
      <w:r w:rsidR="00A3537B" w:rsidRPr="00CC539B">
        <w:t xml:space="preserve">la </w:t>
      </w:r>
      <w:r w:rsidR="00443C5E">
        <w:t xml:space="preserve">falta en la institución de </w:t>
      </w:r>
      <w:r w:rsidR="00A3537B" w:rsidRPr="00CC539B">
        <w:t xml:space="preserve">personal </w:t>
      </w:r>
      <w:r w:rsidR="00CC539B" w:rsidRPr="00CC539B">
        <w:t xml:space="preserve">perteneciente a los </w:t>
      </w:r>
      <w:r w:rsidR="003F3F89" w:rsidRPr="00CC539B">
        <w:t xml:space="preserve">pueblos indígenas </w:t>
      </w:r>
      <w:r w:rsidR="009F1ADE">
        <w:t xml:space="preserve">con capacidad </w:t>
      </w:r>
      <w:r w:rsidR="00A3537B" w:rsidRPr="00CC539B">
        <w:t xml:space="preserve">en </w:t>
      </w:r>
      <w:r w:rsidR="009F1ADE">
        <w:t>l</w:t>
      </w:r>
      <w:r w:rsidR="00CC539B" w:rsidRPr="00CC539B">
        <w:t xml:space="preserve">a </w:t>
      </w:r>
      <w:r w:rsidR="00A3537B" w:rsidRPr="00CC539B">
        <w:t>temática</w:t>
      </w:r>
      <w:r w:rsidR="00465F1E" w:rsidRPr="00CC539B">
        <w:t xml:space="preserve">. </w:t>
      </w:r>
      <w:r w:rsidR="009F1CE0" w:rsidRPr="00CC539B">
        <w:t>El</w:t>
      </w:r>
      <w:r w:rsidR="00987034" w:rsidRPr="00CC539B">
        <w:t xml:space="preserve"> Comité está </w:t>
      </w:r>
      <w:r w:rsidR="009F1CE0" w:rsidRPr="00CC539B">
        <w:t xml:space="preserve">también </w:t>
      </w:r>
      <w:r w:rsidR="00987034" w:rsidRPr="00CC539B">
        <w:t xml:space="preserve">preocupado por la intervención </w:t>
      </w:r>
      <w:r w:rsidR="009F1ADE">
        <w:t xml:space="preserve">administrativa </w:t>
      </w:r>
      <w:r w:rsidR="00987034" w:rsidRPr="00CC539B">
        <w:t xml:space="preserve">del </w:t>
      </w:r>
      <w:r w:rsidR="00987034" w:rsidRPr="00846B0A">
        <w:t>INADI desde 2011</w:t>
      </w:r>
      <w:r w:rsidR="00772A49">
        <w:t>,</w:t>
      </w:r>
      <w:r w:rsidR="00987034">
        <w:t xml:space="preserve"> </w:t>
      </w:r>
      <w:r w:rsidR="009F1ADE">
        <w:t xml:space="preserve">que podría </w:t>
      </w:r>
      <w:r w:rsidR="00987034">
        <w:t>limita</w:t>
      </w:r>
      <w:r w:rsidR="009F1ADE">
        <w:t>r</w:t>
      </w:r>
      <w:r w:rsidR="00987034">
        <w:t xml:space="preserve"> la independencia y capacidad de acción </w:t>
      </w:r>
      <w:r w:rsidR="009F1CE0" w:rsidRPr="009F1CE0">
        <w:t>(art. 2</w:t>
      </w:r>
      <w:r w:rsidR="009170D7" w:rsidRPr="009F1CE0">
        <w:t xml:space="preserve">). </w:t>
      </w:r>
    </w:p>
    <w:p w14:paraId="21CC66CC" w14:textId="7532FFF0" w:rsidR="009F1CE0" w:rsidRDefault="005720C5" w:rsidP="005720C5">
      <w:pPr>
        <w:pStyle w:val="SingleTxtG"/>
        <w:rPr>
          <w:b/>
        </w:rPr>
      </w:pPr>
      <w:r>
        <w:t>17.</w:t>
      </w:r>
      <w:r>
        <w:tab/>
      </w:r>
      <w:r w:rsidR="009F1CE0" w:rsidRPr="0015611C">
        <w:rPr>
          <w:b/>
        </w:rPr>
        <w:t>E</w:t>
      </w:r>
      <w:r w:rsidR="009170D7" w:rsidRPr="0015611C">
        <w:rPr>
          <w:b/>
        </w:rPr>
        <w:t>l</w:t>
      </w:r>
      <w:r w:rsidR="009170D7" w:rsidRPr="009F1CE0">
        <w:rPr>
          <w:b/>
        </w:rPr>
        <w:t xml:space="preserve"> Comité insta al Estado parte a</w:t>
      </w:r>
      <w:r w:rsidR="009F1CE0">
        <w:rPr>
          <w:b/>
        </w:rPr>
        <w:t>:</w:t>
      </w:r>
    </w:p>
    <w:p w14:paraId="5525A16E" w14:textId="312359A1" w:rsidR="009F1CE0" w:rsidRDefault="009F1CE0">
      <w:pPr>
        <w:pStyle w:val="SingleTxtG"/>
        <w:ind w:firstLine="567"/>
        <w:rPr>
          <w:b/>
        </w:rPr>
      </w:pPr>
      <w:r w:rsidRPr="005720C5">
        <w:rPr>
          <w:bCs/>
        </w:rPr>
        <w:t>a)</w:t>
      </w:r>
      <w:r>
        <w:rPr>
          <w:b/>
        </w:rPr>
        <w:tab/>
        <w:t>T</w:t>
      </w:r>
      <w:r w:rsidR="00897C43" w:rsidRPr="009F1CE0">
        <w:rPr>
          <w:b/>
        </w:rPr>
        <w:t>omar</w:t>
      </w:r>
      <w:r w:rsidR="001B08F5" w:rsidRPr="009F1CE0">
        <w:rPr>
          <w:b/>
        </w:rPr>
        <w:t xml:space="preserve"> todas las medidas necesarias para </w:t>
      </w:r>
      <w:r w:rsidRPr="009F1CE0">
        <w:rPr>
          <w:b/>
        </w:rPr>
        <w:t>asegurar la participación plena y efectiva de l</w:t>
      </w:r>
      <w:r w:rsidR="003E43A0">
        <w:rPr>
          <w:b/>
        </w:rPr>
        <w:t>os</w:t>
      </w:r>
      <w:r w:rsidRPr="009F1CE0">
        <w:rPr>
          <w:b/>
        </w:rPr>
        <w:t xml:space="preserve"> </w:t>
      </w:r>
      <w:r w:rsidR="003E43A0">
        <w:rPr>
          <w:b/>
        </w:rPr>
        <w:t>pueblos</w:t>
      </w:r>
      <w:r w:rsidR="003E43A0" w:rsidRPr="009F1CE0">
        <w:rPr>
          <w:b/>
        </w:rPr>
        <w:t xml:space="preserve"> </w:t>
      </w:r>
      <w:r w:rsidRPr="009F1CE0">
        <w:rPr>
          <w:b/>
        </w:rPr>
        <w:t>indígena</w:t>
      </w:r>
      <w:r w:rsidR="003E43A0">
        <w:rPr>
          <w:b/>
        </w:rPr>
        <w:t>s</w:t>
      </w:r>
      <w:r w:rsidRPr="009F1CE0">
        <w:rPr>
          <w:b/>
        </w:rPr>
        <w:t>, los afro</w:t>
      </w:r>
      <w:r w:rsidR="00941D11">
        <w:rPr>
          <w:b/>
        </w:rPr>
        <w:t>descendientes</w:t>
      </w:r>
      <w:r w:rsidR="001D37BE">
        <w:rPr>
          <w:b/>
        </w:rPr>
        <w:t xml:space="preserve"> y</w:t>
      </w:r>
      <w:r w:rsidR="00FB2247">
        <w:rPr>
          <w:b/>
        </w:rPr>
        <w:t xml:space="preserve"> migrantes</w:t>
      </w:r>
      <w:r w:rsidRPr="009F1CE0">
        <w:rPr>
          <w:b/>
        </w:rPr>
        <w:t xml:space="preserve"> en las instituciones que l</w:t>
      </w:r>
      <w:r w:rsidR="00863AA0">
        <w:rPr>
          <w:b/>
        </w:rPr>
        <w:t>o</w:t>
      </w:r>
      <w:r w:rsidRPr="009F1CE0">
        <w:rPr>
          <w:b/>
        </w:rPr>
        <w:t xml:space="preserve">s representan o </w:t>
      </w:r>
      <w:r>
        <w:rPr>
          <w:b/>
        </w:rPr>
        <w:t xml:space="preserve">que </w:t>
      </w:r>
      <w:r w:rsidRPr="009F1CE0">
        <w:rPr>
          <w:b/>
        </w:rPr>
        <w:t xml:space="preserve">trabajan en la lucha </w:t>
      </w:r>
      <w:r w:rsidR="001D37BE">
        <w:rPr>
          <w:b/>
        </w:rPr>
        <w:t>contra la discriminación racial;</w:t>
      </w:r>
      <w:r>
        <w:rPr>
          <w:b/>
        </w:rPr>
        <w:t xml:space="preserve"> </w:t>
      </w:r>
    </w:p>
    <w:p w14:paraId="6A4442C1" w14:textId="3432527A" w:rsidR="00221765" w:rsidRDefault="009F1CE0">
      <w:pPr>
        <w:pStyle w:val="SingleTxtG"/>
        <w:ind w:firstLine="567"/>
        <w:rPr>
          <w:b/>
        </w:rPr>
      </w:pPr>
      <w:r w:rsidRPr="005720C5">
        <w:rPr>
          <w:bCs/>
        </w:rPr>
        <w:t>b)</w:t>
      </w:r>
      <w:r w:rsidR="00221765">
        <w:rPr>
          <w:b/>
        </w:rPr>
        <w:tab/>
      </w:r>
      <w:r w:rsidR="001D37BE">
        <w:rPr>
          <w:b/>
        </w:rPr>
        <w:t>S</w:t>
      </w:r>
      <w:r w:rsidR="00221765">
        <w:rPr>
          <w:b/>
        </w:rPr>
        <w:t xml:space="preserve">eguir reforzando las instituciones de lucha contra la discriminación racial y de promoción de los derechos de los pueblos indígenas, asegurando su plena autonomía y dotándoles de los recursos </w:t>
      </w:r>
      <w:r w:rsidR="00DB0BFD">
        <w:rPr>
          <w:b/>
        </w:rPr>
        <w:t xml:space="preserve">humanos y </w:t>
      </w:r>
      <w:r w:rsidR="00221765">
        <w:rPr>
          <w:b/>
        </w:rPr>
        <w:t>presupuestarios necesarios</w:t>
      </w:r>
      <w:r w:rsidR="00772A49">
        <w:rPr>
          <w:b/>
        </w:rPr>
        <w:t>,</w:t>
      </w:r>
      <w:r w:rsidR="001D37BE">
        <w:rPr>
          <w:b/>
        </w:rPr>
        <w:t xml:space="preserve"> y considerar la creación de delegaciones de dichas instituciones en todas las provincias del país.</w:t>
      </w:r>
      <w:r>
        <w:rPr>
          <w:b/>
        </w:rPr>
        <w:t xml:space="preserve"> </w:t>
      </w:r>
    </w:p>
    <w:p w14:paraId="0C7B8195" w14:textId="032D6867" w:rsidR="008D13F5" w:rsidRPr="000D009A" w:rsidRDefault="000D27B9" w:rsidP="00A04834">
      <w:pPr>
        <w:pStyle w:val="H23G"/>
        <w:spacing w:before="220"/>
        <w:ind w:left="1138" w:right="1138" w:hanging="1138"/>
      </w:pPr>
      <w:r w:rsidRPr="000D27B9">
        <w:tab/>
      </w:r>
      <w:r w:rsidRPr="000D27B9">
        <w:tab/>
      </w:r>
      <w:r w:rsidR="008D13F5" w:rsidRPr="00746612">
        <w:t>Consulta previa</w:t>
      </w:r>
      <w:r w:rsidR="008D13F5" w:rsidRPr="000D009A">
        <w:t xml:space="preserve"> </w:t>
      </w:r>
      <w:r w:rsidR="00E415D2">
        <w:t>e informada</w:t>
      </w:r>
    </w:p>
    <w:p w14:paraId="3E689CAA" w14:textId="2B8DAD02" w:rsidR="00EC5302" w:rsidRPr="000D009A" w:rsidRDefault="005720C5" w:rsidP="005720C5">
      <w:pPr>
        <w:pStyle w:val="SingleTxtG"/>
      </w:pPr>
      <w:r w:rsidRPr="000D009A">
        <w:t>18.</w:t>
      </w:r>
      <w:r w:rsidRPr="000D009A">
        <w:tab/>
      </w:r>
      <w:r w:rsidR="00F445C6" w:rsidRPr="002B2CCA">
        <w:t>E</w:t>
      </w:r>
      <w:r w:rsidR="00AC6152" w:rsidRPr="002B2CCA">
        <w:t xml:space="preserve">l Comité </w:t>
      </w:r>
      <w:r w:rsidR="002B2CCA" w:rsidRPr="002B2CCA">
        <w:t xml:space="preserve">continúa preocupado </w:t>
      </w:r>
      <w:r w:rsidR="001D37BE">
        <w:t>por</w:t>
      </w:r>
      <w:r w:rsidR="002B2CCA" w:rsidRPr="002B2CCA">
        <w:t xml:space="preserve"> la falta de</w:t>
      </w:r>
      <w:r w:rsidR="00595991">
        <w:t xml:space="preserve"> </w:t>
      </w:r>
      <w:r w:rsidR="002B2CCA">
        <w:t xml:space="preserve">una </w:t>
      </w:r>
      <w:r w:rsidR="00553086">
        <w:t>normativa</w:t>
      </w:r>
      <w:r w:rsidR="002B2CCA">
        <w:t xml:space="preserve"> que regule </w:t>
      </w:r>
      <w:r w:rsidR="00746612">
        <w:t>los</w:t>
      </w:r>
      <w:r w:rsidR="00AC0E6C">
        <w:t xml:space="preserve"> procedimiento</w:t>
      </w:r>
      <w:r w:rsidR="00746612">
        <w:t>s</w:t>
      </w:r>
      <w:r w:rsidR="00AC0E6C">
        <w:t xml:space="preserve"> de consulta con miras a la</w:t>
      </w:r>
      <w:r w:rsidR="002B2CCA">
        <w:t xml:space="preserve"> </w:t>
      </w:r>
      <w:r w:rsidR="00AC0E6C">
        <w:t>obtención d</w:t>
      </w:r>
      <w:r w:rsidR="002B2CCA">
        <w:t>el consentimiento libre, previo e informado</w:t>
      </w:r>
      <w:r w:rsidR="00B43DC7">
        <w:t xml:space="preserve"> de l</w:t>
      </w:r>
      <w:r w:rsidR="00941D11">
        <w:t>o</w:t>
      </w:r>
      <w:r w:rsidR="00B43DC7">
        <w:t xml:space="preserve">s </w:t>
      </w:r>
      <w:r w:rsidR="00941D11">
        <w:t xml:space="preserve">pueblos </w:t>
      </w:r>
      <w:r w:rsidR="00B43DC7">
        <w:t>indígenas</w:t>
      </w:r>
      <w:r w:rsidR="00772A49">
        <w:t>,</w:t>
      </w:r>
      <w:r w:rsidR="002B2CCA">
        <w:t xml:space="preserve"> </w:t>
      </w:r>
      <w:r w:rsidR="00702C86">
        <w:t>y de los</w:t>
      </w:r>
      <w:r w:rsidR="00595991">
        <w:t xml:space="preserve"> </w:t>
      </w:r>
      <w:r w:rsidR="002B2CCA" w:rsidRPr="002B2CCA">
        <w:t xml:space="preserve">mecanismos efectivos para llevar a cabo </w:t>
      </w:r>
      <w:r w:rsidR="00883CED">
        <w:t xml:space="preserve">dichas </w:t>
      </w:r>
      <w:r w:rsidR="002B2CCA" w:rsidRPr="002B2CCA">
        <w:t>consultas</w:t>
      </w:r>
      <w:r w:rsidR="00553086">
        <w:t xml:space="preserve">. </w:t>
      </w:r>
      <w:r w:rsidR="002B2CCA">
        <w:t xml:space="preserve">El </w:t>
      </w:r>
      <w:r w:rsidR="002B2CCA" w:rsidRPr="00421CE4">
        <w:t xml:space="preserve">Comité lamenta </w:t>
      </w:r>
      <w:r w:rsidR="000D27B9">
        <w:t xml:space="preserve">el reducido número de </w:t>
      </w:r>
      <w:r w:rsidR="00342868" w:rsidRPr="00421CE4">
        <w:t>consulta</w:t>
      </w:r>
      <w:r w:rsidR="000D27B9">
        <w:t>s en el Estado parte</w:t>
      </w:r>
      <w:r w:rsidR="00772A49">
        <w:t>,</w:t>
      </w:r>
      <w:r w:rsidR="00AC0E6C" w:rsidRPr="00421CE4">
        <w:t xml:space="preserve"> </w:t>
      </w:r>
      <w:r w:rsidR="00BA4443" w:rsidRPr="00421CE4">
        <w:t xml:space="preserve">y </w:t>
      </w:r>
      <w:r w:rsidR="00421CE4" w:rsidRPr="00421CE4">
        <w:t xml:space="preserve">que </w:t>
      </w:r>
      <w:r w:rsidR="000D561E" w:rsidRPr="00421CE4">
        <w:t xml:space="preserve">cuando </w:t>
      </w:r>
      <w:r w:rsidR="00421CE4">
        <w:t>ést</w:t>
      </w:r>
      <w:r w:rsidR="00772A49">
        <w:t>a</w:t>
      </w:r>
      <w:r w:rsidR="00421CE4">
        <w:t xml:space="preserve">s </w:t>
      </w:r>
      <w:r w:rsidR="00BA4443" w:rsidRPr="00421CE4">
        <w:t xml:space="preserve">se producen es con un </w:t>
      </w:r>
      <w:r w:rsidR="000D561E" w:rsidRPr="00421CE4">
        <w:t>carácter discrecional</w:t>
      </w:r>
      <w:r w:rsidR="00BA4443" w:rsidRPr="00421CE4">
        <w:t xml:space="preserve"> y sin respetar </w:t>
      </w:r>
      <w:r w:rsidR="00AC0E6C" w:rsidRPr="00421CE4">
        <w:t>los estándares internacionales</w:t>
      </w:r>
      <w:r w:rsidR="00342868" w:rsidRPr="00421CE4">
        <w:t xml:space="preserve"> </w:t>
      </w:r>
      <w:r w:rsidR="00B15D3F">
        <w:t>(arts.</w:t>
      </w:r>
      <w:r w:rsidR="00746E85">
        <w:t> </w:t>
      </w:r>
      <w:r w:rsidR="00B15D3F">
        <w:t>2 y 5)</w:t>
      </w:r>
      <w:r w:rsidR="00EC5302" w:rsidRPr="000D009A">
        <w:t xml:space="preserve">. </w:t>
      </w:r>
    </w:p>
    <w:p w14:paraId="044276EA" w14:textId="340E8193" w:rsidR="00B64FD3" w:rsidRPr="000D009A" w:rsidRDefault="005720C5" w:rsidP="005720C5">
      <w:pPr>
        <w:pStyle w:val="SingleTxtG"/>
        <w:rPr>
          <w:b/>
        </w:rPr>
      </w:pPr>
      <w:r w:rsidRPr="000D009A">
        <w:t>19.</w:t>
      </w:r>
      <w:r w:rsidRPr="000D009A">
        <w:tab/>
      </w:r>
      <w:r w:rsidR="006D5DE9" w:rsidRPr="000D009A">
        <w:rPr>
          <w:b/>
        </w:rPr>
        <w:t xml:space="preserve">Recordando su </w:t>
      </w:r>
      <w:r w:rsidR="00D31706">
        <w:rPr>
          <w:b/>
        </w:rPr>
        <w:t>r</w:t>
      </w:r>
      <w:r w:rsidR="006D5DE9" w:rsidRPr="000D009A">
        <w:rPr>
          <w:b/>
        </w:rPr>
        <w:t xml:space="preserve">ecomendación </w:t>
      </w:r>
      <w:r w:rsidR="00D31706">
        <w:rPr>
          <w:b/>
        </w:rPr>
        <w:t>g</w:t>
      </w:r>
      <w:r w:rsidR="006D5DE9" w:rsidRPr="000D009A">
        <w:rPr>
          <w:b/>
        </w:rPr>
        <w:t xml:space="preserve">eneral </w:t>
      </w:r>
      <w:r w:rsidR="00FF3FB7">
        <w:rPr>
          <w:b/>
        </w:rPr>
        <w:t>núm. </w:t>
      </w:r>
      <w:r w:rsidR="006D5DE9" w:rsidRPr="000D009A">
        <w:rPr>
          <w:b/>
        </w:rPr>
        <w:t xml:space="preserve">23 (1997) </w:t>
      </w:r>
      <w:r w:rsidR="00772A49">
        <w:rPr>
          <w:b/>
        </w:rPr>
        <w:t xml:space="preserve">sobre </w:t>
      </w:r>
      <w:r w:rsidR="006D5DE9" w:rsidRPr="000D009A">
        <w:rPr>
          <w:b/>
        </w:rPr>
        <w:t xml:space="preserve">los derechos de </w:t>
      </w:r>
      <w:r w:rsidR="006D5DE9" w:rsidRPr="00FF3FB7">
        <w:rPr>
          <w:b/>
        </w:rPr>
        <w:t>los pueblos</w:t>
      </w:r>
      <w:r w:rsidR="006D5DE9" w:rsidRPr="000D009A">
        <w:rPr>
          <w:b/>
        </w:rPr>
        <w:t xml:space="preserve"> indígenas, e</w:t>
      </w:r>
      <w:r w:rsidR="00E3781A" w:rsidRPr="000D009A">
        <w:rPr>
          <w:b/>
        </w:rPr>
        <w:t xml:space="preserve">l Comité </w:t>
      </w:r>
      <w:r w:rsidR="006D5DE9" w:rsidRPr="000D009A">
        <w:rPr>
          <w:b/>
        </w:rPr>
        <w:t xml:space="preserve">insta </w:t>
      </w:r>
      <w:r w:rsidR="00E3781A" w:rsidRPr="000D009A">
        <w:rPr>
          <w:b/>
        </w:rPr>
        <w:t>al Estado parte</w:t>
      </w:r>
      <w:r w:rsidR="006D5DE9" w:rsidRPr="000D009A">
        <w:rPr>
          <w:b/>
        </w:rPr>
        <w:t xml:space="preserve"> a</w:t>
      </w:r>
      <w:r w:rsidR="00B64FD3" w:rsidRPr="000D009A">
        <w:rPr>
          <w:b/>
        </w:rPr>
        <w:t xml:space="preserve">: </w:t>
      </w:r>
    </w:p>
    <w:p w14:paraId="000B3B03" w14:textId="7D3C8DEF" w:rsidR="00B64FD3" w:rsidRPr="00E05272" w:rsidRDefault="005365DF">
      <w:pPr>
        <w:pStyle w:val="SingleTxtG"/>
        <w:ind w:firstLine="567"/>
        <w:rPr>
          <w:b/>
        </w:rPr>
      </w:pPr>
      <w:r w:rsidRPr="005720C5">
        <w:t>a)</w:t>
      </w:r>
      <w:r>
        <w:rPr>
          <w:b/>
        </w:rPr>
        <w:tab/>
      </w:r>
      <w:r w:rsidR="00366A9F" w:rsidRPr="000D009A">
        <w:rPr>
          <w:b/>
        </w:rPr>
        <w:t xml:space="preserve">Adoptar </w:t>
      </w:r>
      <w:r w:rsidR="00883CED">
        <w:rPr>
          <w:b/>
        </w:rPr>
        <w:t xml:space="preserve">una normativa y </w:t>
      </w:r>
      <w:r w:rsidR="007165E9">
        <w:rPr>
          <w:b/>
          <w:lang w:eastAsia="en-GB"/>
        </w:rPr>
        <w:t>mecanismos</w:t>
      </w:r>
      <w:r w:rsidR="00366A9F" w:rsidRPr="000D009A">
        <w:rPr>
          <w:b/>
          <w:lang w:eastAsia="en-GB"/>
        </w:rPr>
        <w:t xml:space="preserve"> apropiados </w:t>
      </w:r>
      <w:r w:rsidR="00883CED">
        <w:rPr>
          <w:b/>
          <w:lang w:eastAsia="en-GB"/>
        </w:rPr>
        <w:t xml:space="preserve">en todo el territorio </w:t>
      </w:r>
      <w:r w:rsidR="001C2606">
        <w:rPr>
          <w:b/>
          <w:lang w:eastAsia="en-GB"/>
        </w:rPr>
        <w:t xml:space="preserve">a fin de </w:t>
      </w:r>
      <w:r w:rsidR="00366A9F">
        <w:rPr>
          <w:b/>
          <w:lang w:eastAsia="en-GB"/>
        </w:rPr>
        <w:t>que</w:t>
      </w:r>
      <w:r w:rsidR="00330230">
        <w:rPr>
          <w:b/>
          <w:lang w:eastAsia="en-GB"/>
        </w:rPr>
        <w:t>,</w:t>
      </w:r>
      <w:r w:rsidR="00366A9F">
        <w:rPr>
          <w:b/>
          <w:lang w:eastAsia="en-GB"/>
        </w:rPr>
        <w:t xml:space="preserve"> </w:t>
      </w:r>
      <w:r w:rsidR="00366A9F" w:rsidRPr="000D009A">
        <w:rPr>
          <w:b/>
          <w:lang w:eastAsia="en-GB"/>
        </w:rPr>
        <w:t>con miras a obtener el consentimiento libre, previo e informado</w:t>
      </w:r>
      <w:r w:rsidR="00330230">
        <w:rPr>
          <w:b/>
          <w:lang w:eastAsia="en-GB"/>
        </w:rPr>
        <w:t xml:space="preserve">, la </w:t>
      </w:r>
      <w:r w:rsidR="00330230" w:rsidRPr="000D009A">
        <w:rPr>
          <w:b/>
          <w:lang w:eastAsia="en-GB"/>
        </w:rPr>
        <w:t>consulta previa</w:t>
      </w:r>
      <w:r w:rsidR="00330230">
        <w:rPr>
          <w:b/>
          <w:lang w:eastAsia="en-GB"/>
        </w:rPr>
        <w:t xml:space="preserve"> </w:t>
      </w:r>
      <w:r w:rsidR="00366A9F">
        <w:rPr>
          <w:b/>
          <w:lang w:eastAsia="en-GB"/>
        </w:rPr>
        <w:t xml:space="preserve">sea realizada de manera </w:t>
      </w:r>
      <w:r w:rsidR="00366A9F" w:rsidRPr="000D009A">
        <w:rPr>
          <w:b/>
          <w:lang w:eastAsia="en-GB"/>
        </w:rPr>
        <w:t xml:space="preserve">sistemática, de buena fe, </w:t>
      </w:r>
      <w:r w:rsidR="005F6595">
        <w:rPr>
          <w:b/>
          <w:lang w:eastAsia="en-GB"/>
        </w:rPr>
        <w:t>con autoridades representativas y mediante procedimientos apropiados</w:t>
      </w:r>
      <w:r w:rsidR="00366A9F">
        <w:rPr>
          <w:b/>
          <w:lang w:eastAsia="en-GB"/>
        </w:rPr>
        <w:t xml:space="preserve">, proporcionando información </w:t>
      </w:r>
      <w:r w:rsidR="00366A9F" w:rsidRPr="000D009A">
        <w:rPr>
          <w:b/>
          <w:lang w:eastAsia="en-GB"/>
        </w:rPr>
        <w:t>suficiente y apropiada</w:t>
      </w:r>
      <w:r w:rsidR="00366A9F">
        <w:rPr>
          <w:b/>
          <w:lang w:eastAsia="en-GB"/>
        </w:rPr>
        <w:t>;</w:t>
      </w:r>
    </w:p>
    <w:p w14:paraId="6CD65AC1" w14:textId="390579E9" w:rsidR="00702C86" w:rsidRPr="00702C86" w:rsidRDefault="009665EA" w:rsidP="009F5358">
      <w:pPr>
        <w:pStyle w:val="SingleTxtG"/>
        <w:ind w:firstLine="567"/>
        <w:rPr>
          <w:b/>
        </w:rPr>
      </w:pPr>
      <w:r w:rsidRPr="005720C5">
        <w:t>b</w:t>
      </w:r>
      <w:r w:rsidR="005365DF" w:rsidRPr="005720C5">
        <w:t>)</w:t>
      </w:r>
      <w:r w:rsidR="005365DF" w:rsidRPr="005720C5">
        <w:tab/>
      </w:r>
      <w:r w:rsidR="005D4722" w:rsidRPr="000D009A">
        <w:rPr>
          <w:b/>
        </w:rPr>
        <w:t xml:space="preserve">Asegurar que </w:t>
      </w:r>
      <w:r w:rsidR="00702C86">
        <w:rPr>
          <w:b/>
        </w:rPr>
        <w:t>tanto las medidas legislativas o administrativas que puedan afectar a los pueblos indígenas, como</w:t>
      </w:r>
      <w:r w:rsidR="00702C86" w:rsidRPr="000D009A">
        <w:rPr>
          <w:b/>
        </w:rPr>
        <w:t xml:space="preserve"> </w:t>
      </w:r>
      <w:r w:rsidR="005D4722" w:rsidRPr="000D009A">
        <w:rPr>
          <w:b/>
        </w:rPr>
        <w:t xml:space="preserve">todos los proyectos de </w:t>
      </w:r>
      <w:r w:rsidR="00702C86">
        <w:rPr>
          <w:b/>
        </w:rPr>
        <w:t xml:space="preserve">infraestructuras </w:t>
      </w:r>
      <w:r w:rsidR="005D4722" w:rsidRPr="000D009A">
        <w:rPr>
          <w:b/>
        </w:rPr>
        <w:t>y e</w:t>
      </w:r>
      <w:r w:rsidR="00366A9F">
        <w:rPr>
          <w:b/>
        </w:rPr>
        <w:t>xplotación de recursos naturales</w:t>
      </w:r>
      <w:r w:rsidR="001C2606">
        <w:rPr>
          <w:b/>
        </w:rPr>
        <w:t xml:space="preserve"> </w:t>
      </w:r>
      <w:r w:rsidR="005D4722" w:rsidRPr="000D009A">
        <w:rPr>
          <w:b/>
        </w:rPr>
        <w:t xml:space="preserve">sean sometidos al proceso de consulta </w:t>
      </w:r>
      <w:r w:rsidR="00B15D3F">
        <w:rPr>
          <w:b/>
        </w:rPr>
        <w:t>previa con miras a</w:t>
      </w:r>
      <w:r w:rsidR="005D4722" w:rsidRPr="000D009A">
        <w:rPr>
          <w:b/>
        </w:rPr>
        <w:t xml:space="preserve"> obtener </w:t>
      </w:r>
      <w:r w:rsidR="00D97741">
        <w:rPr>
          <w:b/>
        </w:rPr>
        <w:t>su</w:t>
      </w:r>
      <w:r w:rsidR="00D97741" w:rsidRPr="000D009A">
        <w:rPr>
          <w:b/>
        </w:rPr>
        <w:t xml:space="preserve"> </w:t>
      </w:r>
      <w:r w:rsidR="005D4722" w:rsidRPr="000D009A">
        <w:rPr>
          <w:b/>
        </w:rPr>
        <w:t>consentimiento</w:t>
      </w:r>
      <w:r w:rsidR="00A54C29">
        <w:rPr>
          <w:b/>
        </w:rPr>
        <w:t xml:space="preserve"> libre,</w:t>
      </w:r>
      <w:r w:rsidR="005D4722" w:rsidRPr="000D009A">
        <w:rPr>
          <w:b/>
        </w:rPr>
        <w:t xml:space="preserve"> previo e informado</w:t>
      </w:r>
      <w:r w:rsidR="008B1583" w:rsidRPr="00E05272">
        <w:rPr>
          <w:b/>
        </w:rPr>
        <w:t>.</w:t>
      </w:r>
      <w:r w:rsidR="00342868">
        <w:rPr>
          <w:b/>
        </w:rPr>
        <w:t xml:space="preserve"> </w:t>
      </w:r>
    </w:p>
    <w:p w14:paraId="663F0768" w14:textId="300778FD" w:rsidR="008D13F5" w:rsidRPr="006631F1" w:rsidRDefault="00484F32" w:rsidP="00A04834">
      <w:pPr>
        <w:pStyle w:val="H23G"/>
        <w:spacing w:before="220"/>
        <w:ind w:left="1138" w:right="1138" w:hanging="1138"/>
      </w:pPr>
      <w:r>
        <w:tab/>
      </w:r>
      <w:r>
        <w:tab/>
      </w:r>
      <w:r w:rsidR="00670256" w:rsidRPr="004F107C">
        <w:t>Derechos territoriales y restitución de tierras</w:t>
      </w:r>
    </w:p>
    <w:p w14:paraId="56A8B5FD" w14:textId="1DCBF1F8" w:rsidR="00C97EDE" w:rsidRDefault="005720C5" w:rsidP="005720C5">
      <w:pPr>
        <w:pStyle w:val="SingleTxtG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</w:r>
      <w:r w:rsidR="00710DA2">
        <w:t xml:space="preserve">El Comité </w:t>
      </w:r>
      <w:r w:rsidR="00E50127">
        <w:t xml:space="preserve">observa </w:t>
      </w:r>
      <w:r w:rsidR="00710DA2">
        <w:t xml:space="preserve">con preocupación </w:t>
      </w:r>
      <w:r w:rsidR="008C0217">
        <w:t xml:space="preserve">que a pesar del marco </w:t>
      </w:r>
      <w:r w:rsidR="00863AA0">
        <w:t xml:space="preserve">jurídico </w:t>
      </w:r>
      <w:r w:rsidR="008C0217">
        <w:t>que reconoce el derecho de propiedad de las tierras tradicionalmente ocupadas por los pueblos indígenas, el Estado parte no garantiza</w:t>
      </w:r>
      <w:r w:rsidR="00093F91">
        <w:t xml:space="preserve"> todavía</w:t>
      </w:r>
      <w:r w:rsidR="008C0217">
        <w:t xml:space="preserve"> el</w:t>
      </w:r>
      <w:r w:rsidR="009006B8">
        <w:t xml:space="preserve"> pleno</w:t>
      </w:r>
      <w:r w:rsidR="008C0217">
        <w:t xml:space="preserve"> disfrute y ejercicio efectivo de este derecho.</w:t>
      </w:r>
      <w:r w:rsidR="00BE34F5">
        <w:t xml:space="preserve"> </w:t>
      </w:r>
      <w:r w:rsidR="003C518F">
        <w:t>La</w:t>
      </w:r>
      <w:r w:rsidR="00E12CF8">
        <w:t> </w:t>
      </w:r>
      <w:r w:rsidR="00772A49">
        <w:t>L</w:t>
      </w:r>
      <w:r w:rsidR="00C638C4">
        <w:t xml:space="preserve">ey 26160 dispone </w:t>
      </w:r>
      <w:r w:rsidR="00167DB4">
        <w:t xml:space="preserve">el relevamiento o demarcación </w:t>
      </w:r>
      <w:r w:rsidR="00341293">
        <w:t xml:space="preserve">de las tierras </w:t>
      </w:r>
      <w:r w:rsidR="00341293" w:rsidRPr="00236BA0">
        <w:t>tradicionalmente ocu</w:t>
      </w:r>
      <w:r w:rsidR="00167DB4">
        <w:t xml:space="preserve">padas por </w:t>
      </w:r>
      <w:r w:rsidR="00941D11">
        <w:t xml:space="preserve">los pueblos </w:t>
      </w:r>
      <w:r w:rsidR="00167DB4">
        <w:t>indígenas</w:t>
      </w:r>
      <w:r w:rsidR="00C638C4" w:rsidRPr="00236BA0">
        <w:t xml:space="preserve"> </w:t>
      </w:r>
      <w:r w:rsidR="00206CC0" w:rsidRPr="00236BA0">
        <w:t>con el objetivo de una regularización</w:t>
      </w:r>
      <w:r w:rsidR="00AA2303" w:rsidRPr="00236BA0">
        <w:t xml:space="preserve"> de </w:t>
      </w:r>
      <w:r w:rsidR="00341293" w:rsidRPr="00236BA0">
        <w:t>la</w:t>
      </w:r>
      <w:r w:rsidR="00E50127" w:rsidRPr="00236BA0">
        <w:t>s misma</w:t>
      </w:r>
      <w:r w:rsidR="00CA0EB2" w:rsidRPr="00236BA0">
        <w:t>s</w:t>
      </w:r>
      <w:r w:rsidR="00EE59FF">
        <w:t>. S</w:t>
      </w:r>
      <w:r w:rsidR="003C518F" w:rsidRPr="00236BA0">
        <w:t>in embargo</w:t>
      </w:r>
      <w:r w:rsidR="00863AA0">
        <w:t xml:space="preserve">. </w:t>
      </w:r>
      <w:proofErr w:type="gramStart"/>
      <w:r w:rsidR="00206CC0" w:rsidRPr="00236BA0">
        <w:t>su</w:t>
      </w:r>
      <w:proofErr w:type="gramEnd"/>
      <w:r w:rsidR="00206CC0" w:rsidRPr="00236BA0">
        <w:t xml:space="preserve"> ejecuc</w:t>
      </w:r>
      <w:r w:rsidR="001F5CFC" w:rsidRPr="00236BA0">
        <w:t xml:space="preserve">ión ha sufrido </w:t>
      </w:r>
      <w:r w:rsidR="00F86B16">
        <w:t>complicaciones</w:t>
      </w:r>
      <w:r w:rsidR="00F86B16" w:rsidRPr="00236BA0">
        <w:t xml:space="preserve"> </w:t>
      </w:r>
      <w:r w:rsidR="00056AF5" w:rsidRPr="00236BA0">
        <w:t>y demoras</w:t>
      </w:r>
      <w:r w:rsidR="00863AA0">
        <w:t xml:space="preserve">, y </w:t>
      </w:r>
      <w:r w:rsidR="00E50127" w:rsidRPr="00236BA0">
        <w:t>solo se</w:t>
      </w:r>
      <w:r w:rsidR="00AA2303" w:rsidRPr="00236BA0">
        <w:t xml:space="preserve"> </w:t>
      </w:r>
      <w:r w:rsidR="001F5CFC" w:rsidRPr="00236BA0">
        <w:t xml:space="preserve">ha </w:t>
      </w:r>
      <w:r w:rsidR="00236BA0">
        <w:t>logrado concluir</w:t>
      </w:r>
      <w:r w:rsidR="00AA2303">
        <w:t xml:space="preserve"> el proceso</w:t>
      </w:r>
      <w:r w:rsidR="001F5CFC">
        <w:t xml:space="preserve"> en </w:t>
      </w:r>
      <w:r w:rsidR="00EE59FF">
        <w:t xml:space="preserve">seis </w:t>
      </w:r>
      <w:r w:rsidR="001F5CFC">
        <w:t xml:space="preserve">provincias, </w:t>
      </w:r>
      <w:r w:rsidR="009006B8">
        <w:t>e</w:t>
      </w:r>
      <w:r w:rsidR="00236BA0">
        <w:t xml:space="preserve"> </w:t>
      </w:r>
      <w:r w:rsidR="001F5CFC">
        <w:t xml:space="preserve">incluso en </w:t>
      </w:r>
      <w:r w:rsidR="00236BA0">
        <w:t xml:space="preserve">los lugares donde el proceso ha concluido, </w:t>
      </w:r>
      <w:r w:rsidR="003C518F">
        <w:t xml:space="preserve">los resultados del </w:t>
      </w:r>
      <w:r w:rsidR="00056AF5">
        <w:t>mismo</w:t>
      </w:r>
      <w:r w:rsidR="003C518F">
        <w:t xml:space="preserve"> no se han traducido </w:t>
      </w:r>
      <w:r w:rsidR="00167DB4">
        <w:t>necesariamente</w:t>
      </w:r>
      <w:r w:rsidR="00093F91">
        <w:t xml:space="preserve"> </w:t>
      </w:r>
      <w:r w:rsidR="003C518F">
        <w:t>en un reconocimiento de la posesión y propiedad comunitaria</w:t>
      </w:r>
      <w:r w:rsidR="00BE34F5">
        <w:t xml:space="preserve">. </w:t>
      </w:r>
      <w:r w:rsidR="00C638C4">
        <w:t xml:space="preserve">El Comité </w:t>
      </w:r>
      <w:r w:rsidR="00236BA0">
        <w:t>continúa</w:t>
      </w:r>
      <w:r w:rsidR="00CA0EB2">
        <w:t xml:space="preserve"> preocupado por la situación de la Asociación de Comunidades Aborígenes </w:t>
      </w:r>
      <w:proofErr w:type="spellStart"/>
      <w:r w:rsidR="00CA0EB2">
        <w:t>Lhaka</w:t>
      </w:r>
      <w:proofErr w:type="spellEnd"/>
      <w:r w:rsidR="00CA0EB2">
        <w:t xml:space="preserve"> </w:t>
      </w:r>
      <w:proofErr w:type="spellStart"/>
      <w:r w:rsidR="00CA0EB2">
        <w:t>Honhat</w:t>
      </w:r>
      <w:proofErr w:type="spellEnd"/>
      <w:r w:rsidR="005C227B">
        <w:t xml:space="preserve"> </w:t>
      </w:r>
      <w:r w:rsidR="00D63724">
        <w:rPr>
          <w:color w:val="000000"/>
        </w:rPr>
        <w:t>(art.</w:t>
      </w:r>
      <w:r w:rsidR="00746E85">
        <w:rPr>
          <w:color w:val="000000"/>
        </w:rPr>
        <w:t> </w:t>
      </w:r>
      <w:r w:rsidR="00D63724">
        <w:rPr>
          <w:color w:val="000000"/>
        </w:rPr>
        <w:t>5)</w:t>
      </w:r>
      <w:r w:rsidR="00C97EDE" w:rsidRPr="000D009A">
        <w:rPr>
          <w:color w:val="000000"/>
        </w:rPr>
        <w:t xml:space="preserve">. </w:t>
      </w:r>
    </w:p>
    <w:p w14:paraId="78B51D48" w14:textId="50FD3AF7" w:rsidR="00FD32F9" w:rsidRDefault="005720C5" w:rsidP="005720C5">
      <w:pPr>
        <w:pStyle w:val="SingleTxtG"/>
        <w:rPr>
          <w:b/>
        </w:rPr>
      </w:pPr>
      <w:r>
        <w:t>21.</w:t>
      </w:r>
      <w:r>
        <w:tab/>
      </w:r>
      <w:r w:rsidR="009006B8" w:rsidRPr="000D009A">
        <w:rPr>
          <w:b/>
        </w:rPr>
        <w:t xml:space="preserve">El Comité insta al Estado </w:t>
      </w:r>
      <w:r w:rsidR="009006B8" w:rsidRPr="00FD32F9">
        <w:rPr>
          <w:b/>
        </w:rPr>
        <w:t>parte</w:t>
      </w:r>
      <w:r w:rsidR="00FD32F9">
        <w:rPr>
          <w:b/>
        </w:rPr>
        <w:t>, en coordinación con las autoridades federales, provinciales y municipales,</w:t>
      </w:r>
      <w:r w:rsidR="009006B8" w:rsidRPr="00FD32F9">
        <w:rPr>
          <w:b/>
        </w:rPr>
        <w:t xml:space="preserve"> a</w:t>
      </w:r>
      <w:r w:rsidR="00FD32F9" w:rsidRPr="00FD32F9">
        <w:rPr>
          <w:b/>
        </w:rPr>
        <w:t xml:space="preserve"> garantizar la protección de los derechos de los pueblos indígenas a poseer, utilizar, desarrollar y controlar con plena seguridad sus tierras, territorios y recursos</w:t>
      </w:r>
      <w:r w:rsidR="00635911">
        <w:rPr>
          <w:b/>
        </w:rPr>
        <w:t xml:space="preserve"> naturales</w:t>
      </w:r>
      <w:r w:rsidR="00FD32F9" w:rsidRPr="00FD32F9">
        <w:rPr>
          <w:b/>
        </w:rPr>
        <w:t>, a través de</w:t>
      </w:r>
      <w:r w:rsidR="00EE59FF">
        <w:rPr>
          <w:b/>
        </w:rPr>
        <w:t>,</w:t>
      </w:r>
      <w:r w:rsidR="00FD32F9" w:rsidRPr="00FD32F9">
        <w:rPr>
          <w:b/>
        </w:rPr>
        <w:t xml:space="preserve"> entre otros:</w:t>
      </w:r>
    </w:p>
    <w:p w14:paraId="45868021" w14:textId="2D09BC78" w:rsidR="00FD32F9" w:rsidRPr="00FF3FB7" w:rsidRDefault="00E12CF8" w:rsidP="005720C5">
      <w:pPr>
        <w:pStyle w:val="SingleTxtG"/>
        <w:ind w:firstLine="567"/>
        <w:rPr>
          <w:b/>
        </w:rPr>
      </w:pPr>
      <w:r w:rsidRPr="005720C5">
        <w:rPr>
          <w:bCs/>
        </w:rPr>
        <w:t>a)</w:t>
      </w:r>
      <w:r>
        <w:rPr>
          <w:b/>
        </w:rPr>
        <w:tab/>
      </w:r>
      <w:r w:rsidR="00FD32F9" w:rsidRPr="00FF3FB7">
        <w:rPr>
          <w:b/>
        </w:rPr>
        <w:t>La</w:t>
      </w:r>
      <w:r w:rsidR="00012D05" w:rsidRPr="00FF3FB7">
        <w:rPr>
          <w:b/>
        </w:rPr>
        <w:t xml:space="preserve"> plena implementación de la Ley 26160</w:t>
      </w:r>
      <w:r w:rsidR="00450095" w:rsidRPr="00FF3FB7">
        <w:rPr>
          <w:b/>
        </w:rPr>
        <w:t>,</w:t>
      </w:r>
      <w:r w:rsidR="00FD32F9" w:rsidRPr="00FF3FB7">
        <w:rPr>
          <w:b/>
        </w:rPr>
        <w:t xml:space="preserve"> </w:t>
      </w:r>
      <w:r w:rsidR="00167DB4" w:rsidRPr="00FF3FB7">
        <w:rPr>
          <w:b/>
        </w:rPr>
        <w:t>y</w:t>
      </w:r>
      <w:r w:rsidR="00FD32F9" w:rsidRPr="00FF3FB7">
        <w:rPr>
          <w:b/>
        </w:rPr>
        <w:t xml:space="preserve"> </w:t>
      </w:r>
      <w:r w:rsidR="00450095" w:rsidRPr="00FF3FB7">
        <w:rPr>
          <w:b/>
        </w:rPr>
        <w:t xml:space="preserve">la pronta </w:t>
      </w:r>
      <w:r w:rsidR="00FD32F9" w:rsidRPr="00FF3FB7">
        <w:rPr>
          <w:b/>
        </w:rPr>
        <w:t xml:space="preserve">finalización del proceso de </w:t>
      </w:r>
      <w:r w:rsidR="00167DB4" w:rsidRPr="00FF3FB7">
        <w:rPr>
          <w:b/>
        </w:rPr>
        <w:t>relevamiento</w:t>
      </w:r>
      <w:r w:rsidR="00FD32F9" w:rsidRPr="00FF3FB7">
        <w:rPr>
          <w:b/>
        </w:rPr>
        <w:t xml:space="preserve"> de </w:t>
      </w:r>
      <w:r w:rsidR="00450095" w:rsidRPr="00FF3FB7">
        <w:rPr>
          <w:b/>
        </w:rPr>
        <w:t>las</w:t>
      </w:r>
      <w:r w:rsidR="00FD32F9" w:rsidRPr="00FF3FB7">
        <w:rPr>
          <w:b/>
        </w:rPr>
        <w:t xml:space="preserve"> tierras y territorios ancestrales;</w:t>
      </w:r>
    </w:p>
    <w:p w14:paraId="4184302D" w14:textId="5AFF05D7" w:rsidR="00DB7115" w:rsidRPr="00FF3FB7" w:rsidRDefault="00E12CF8" w:rsidP="005720C5">
      <w:pPr>
        <w:pStyle w:val="SingleTxtG"/>
        <w:ind w:firstLine="567"/>
        <w:rPr>
          <w:b/>
        </w:rPr>
      </w:pPr>
      <w:r w:rsidRPr="005720C5">
        <w:rPr>
          <w:bCs/>
        </w:rPr>
        <w:t>b)</w:t>
      </w:r>
      <w:r>
        <w:rPr>
          <w:b/>
        </w:rPr>
        <w:tab/>
      </w:r>
      <w:r w:rsidR="00FD32F9" w:rsidRPr="00DB7115">
        <w:rPr>
          <w:b/>
        </w:rPr>
        <w:t>La adopción de medidas legislativas y administrativas, así como de mecanismos adecuados y eficaces</w:t>
      </w:r>
      <w:r w:rsidR="00450095" w:rsidRPr="00DB7115">
        <w:rPr>
          <w:b/>
        </w:rPr>
        <w:t>,</w:t>
      </w:r>
      <w:r w:rsidR="00FD32F9" w:rsidRPr="00DB7115">
        <w:rPr>
          <w:b/>
        </w:rPr>
        <w:t xml:space="preserve"> para facilitar la posesión y titula</w:t>
      </w:r>
      <w:r w:rsidR="002E1103" w:rsidRPr="00DB7115">
        <w:rPr>
          <w:b/>
        </w:rPr>
        <w:t>riza</w:t>
      </w:r>
      <w:r w:rsidR="00FD32F9" w:rsidRPr="00DB7115">
        <w:rPr>
          <w:b/>
        </w:rPr>
        <w:t>ción de dichas tierras y territorios</w:t>
      </w:r>
      <w:r w:rsidR="00E31ACE" w:rsidRPr="00DB7115">
        <w:rPr>
          <w:b/>
        </w:rPr>
        <w:t>, y el acceso efectivo a los procedimientos judiciales en la materia</w:t>
      </w:r>
      <w:r w:rsidR="00654E6B">
        <w:rPr>
          <w:b/>
        </w:rPr>
        <w:t xml:space="preserve"> y el respeto de las garantías del debido proceso</w:t>
      </w:r>
      <w:r w:rsidR="00E31ACE" w:rsidRPr="00DB7115">
        <w:rPr>
          <w:b/>
        </w:rPr>
        <w:t>.</w:t>
      </w:r>
    </w:p>
    <w:p w14:paraId="4F9F959F" w14:textId="3E1F4740" w:rsidR="00635911" w:rsidRPr="00450095" w:rsidRDefault="005720C5" w:rsidP="005720C5">
      <w:pPr>
        <w:pStyle w:val="SingleTxtG"/>
        <w:rPr>
          <w:b/>
        </w:rPr>
      </w:pPr>
      <w:r w:rsidRPr="00450095">
        <w:t>22.</w:t>
      </w:r>
      <w:r w:rsidRPr="00450095">
        <w:tab/>
      </w:r>
      <w:r w:rsidR="00450095">
        <w:rPr>
          <w:b/>
        </w:rPr>
        <w:t xml:space="preserve">Respecto a la Asociación de </w:t>
      </w:r>
      <w:r w:rsidR="00450095" w:rsidRPr="00450095">
        <w:rPr>
          <w:b/>
        </w:rPr>
        <w:t xml:space="preserve">Comunidades Indígenas de </w:t>
      </w:r>
      <w:proofErr w:type="spellStart"/>
      <w:r w:rsidR="00450095" w:rsidRPr="00450095">
        <w:rPr>
          <w:b/>
        </w:rPr>
        <w:t>Lhaka</w:t>
      </w:r>
      <w:proofErr w:type="spellEnd"/>
      <w:r w:rsidR="00450095" w:rsidRPr="00450095">
        <w:rPr>
          <w:b/>
        </w:rPr>
        <w:t xml:space="preserve"> </w:t>
      </w:r>
      <w:proofErr w:type="spellStart"/>
      <w:r w:rsidR="00450095" w:rsidRPr="00450095">
        <w:rPr>
          <w:b/>
        </w:rPr>
        <w:t>Honhat</w:t>
      </w:r>
      <w:proofErr w:type="spellEnd"/>
      <w:r w:rsidR="00450095">
        <w:rPr>
          <w:b/>
        </w:rPr>
        <w:t>, el Comi</w:t>
      </w:r>
      <w:r w:rsidR="00450095" w:rsidRPr="00DB7115">
        <w:rPr>
          <w:b/>
        </w:rPr>
        <w:t>té insta</w:t>
      </w:r>
      <w:r w:rsidR="00450095">
        <w:rPr>
          <w:b/>
        </w:rPr>
        <w:t xml:space="preserve"> al Estado parte a concluir la demarcación del territorio, entregar el titulo colectivo</w:t>
      </w:r>
      <w:r w:rsidR="00450095" w:rsidRPr="00450095">
        <w:rPr>
          <w:b/>
        </w:rPr>
        <w:t xml:space="preserve"> a favor de las comunidades </w:t>
      </w:r>
      <w:r w:rsidR="00450095">
        <w:rPr>
          <w:b/>
        </w:rPr>
        <w:t xml:space="preserve">y asistir a las familias criollas en su relocalización. </w:t>
      </w:r>
    </w:p>
    <w:p w14:paraId="5432462F" w14:textId="16C5D23E" w:rsidR="00E50127" w:rsidRDefault="005720C5" w:rsidP="005720C5">
      <w:pPr>
        <w:pStyle w:val="SingleTxtG"/>
        <w:rPr>
          <w:b/>
          <w:color w:val="000000"/>
        </w:rPr>
      </w:pPr>
      <w:r>
        <w:rPr>
          <w:color w:val="000000"/>
        </w:rPr>
        <w:t>23.</w:t>
      </w:r>
      <w:r>
        <w:rPr>
          <w:color w:val="000000"/>
        </w:rPr>
        <w:tab/>
      </w:r>
      <w:r w:rsidR="00E50127" w:rsidRPr="00477D2D">
        <w:t xml:space="preserve">El Comité está </w:t>
      </w:r>
      <w:r w:rsidR="00167DB4">
        <w:t>particularmente</w:t>
      </w:r>
      <w:r w:rsidR="00E50127" w:rsidRPr="00477D2D">
        <w:t xml:space="preserve"> preocupado por </w:t>
      </w:r>
      <w:r w:rsidR="00E50127">
        <w:t xml:space="preserve">el alto número de desalojos de </w:t>
      </w:r>
      <w:r w:rsidR="00941D11">
        <w:t xml:space="preserve">los pueblos </w:t>
      </w:r>
      <w:r w:rsidR="00E50127">
        <w:t xml:space="preserve">indígenas que se llevan a cabo a pesar </w:t>
      </w:r>
      <w:r w:rsidR="00E50127" w:rsidRPr="00477D2D">
        <w:t>de la vigencia de la Ley 26160</w:t>
      </w:r>
      <w:r w:rsidR="00450095">
        <w:t xml:space="preserve">, y particularmente por </w:t>
      </w:r>
      <w:r w:rsidR="001D37BE">
        <w:t xml:space="preserve">los </w:t>
      </w:r>
      <w:r w:rsidR="00450095">
        <w:t xml:space="preserve">incidentes con alto nivel de violencia </w:t>
      </w:r>
      <w:r w:rsidR="00E50127" w:rsidRPr="00477D2D">
        <w:t>contra comunidades indígenas</w:t>
      </w:r>
      <w:r w:rsidR="00450095">
        <w:t>,</w:t>
      </w:r>
      <w:r w:rsidR="00E50127">
        <w:t xml:space="preserve"> </w:t>
      </w:r>
      <w:r w:rsidR="00167DB4">
        <w:t xml:space="preserve">bien </w:t>
      </w:r>
      <w:r w:rsidR="00E50127" w:rsidRPr="00477D2D">
        <w:t xml:space="preserve">en procesos </w:t>
      </w:r>
      <w:r w:rsidR="00E50127">
        <w:t>de desalojo o en protestas</w:t>
      </w:r>
      <w:r w:rsidR="00236BA0">
        <w:t xml:space="preserve"> contra los mismos</w:t>
      </w:r>
      <w:r w:rsidR="00E50127">
        <w:t xml:space="preserve">. El Comité está preocupado </w:t>
      </w:r>
      <w:r w:rsidR="00450095">
        <w:t xml:space="preserve">especialmente por la impunidad por el asesinato de </w:t>
      </w:r>
      <w:r w:rsidR="00E50127" w:rsidRPr="00236BA0">
        <w:t xml:space="preserve">Javier </w:t>
      </w:r>
      <w:proofErr w:type="spellStart"/>
      <w:r w:rsidR="00E50127" w:rsidRPr="00236BA0">
        <w:t>Chocobar</w:t>
      </w:r>
      <w:proofErr w:type="spellEnd"/>
      <w:r w:rsidR="00E50127" w:rsidRPr="00236BA0">
        <w:t xml:space="preserve"> hace </w:t>
      </w:r>
      <w:r w:rsidR="00EE59FF">
        <w:t xml:space="preserve">siete </w:t>
      </w:r>
      <w:r w:rsidR="00E50127" w:rsidRPr="00236BA0">
        <w:t>años</w:t>
      </w:r>
      <w:r w:rsidR="001F5CFC" w:rsidRPr="00236BA0">
        <w:t xml:space="preserve">, </w:t>
      </w:r>
      <w:r w:rsidR="00450095">
        <w:t xml:space="preserve">y por </w:t>
      </w:r>
      <w:r w:rsidR="00E50127" w:rsidRPr="00236BA0">
        <w:t xml:space="preserve">los </w:t>
      </w:r>
      <w:r w:rsidR="001F5CFC" w:rsidRPr="00236BA0">
        <w:t xml:space="preserve">violentos </w:t>
      </w:r>
      <w:r w:rsidR="00E50127" w:rsidRPr="00236BA0">
        <w:t>incidentes de los que han sido víctimas la</w:t>
      </w:r>
      <w:r w:rsidR="001D37BE">
        <w:t>s</w:t>
      </w:r>
      <w:r w:rsidR="00E50127" w:rsidRPr="00236BA0">
        <w:rPr>
          <w:color w:val="000000"/>
        </w:rPr>
        <w:t xml:space="preserve"> Comunidad</w:t>
      </w:r>
      <w:r w:rsidR="001D37BE">
        <w:rPr>
          <w:color w:val="000000"/>
        </w:rPr>
        <w:t>es</w:t>
      </w:r>
      <w:r w:rsidR="00E50127" w:rsidRPr="00236BA0">
        <w:rPr>
          <w:color w:val="000000"/>
        </w:rPr>
        <w:t xml:space="preserve"> </w:t>
      </w:r>
      <w:proofErr w:type="spellStart"/>
      <w:r w:rsidR="00E50127" w:rsidRPr="00236BA0">
        <w:rPr>
          <w:color w:val="000000"/>
        </w:rPr>
        <w:t>Potae</w:t>
      </w:r>
      <w:proofErr w:type="spellEnd"/>
      <w:r w:rsidR="00E50127" w:rsidRPr="00236BA0">
        <w:rPr>
          <w:color w:val="000000"/>
        </w:rPr>
        <w:t xml:space="preserve"> </w:t>
      </w:r>
      <w:proofErr w:type="spellStart"/>
      <w:r w:rsidR="00E50127" w:rsidRPr="00236BA0">
        <w:rPr>
          <w:color w:val="000000"/>
        </w:rPr>
        <w:t>Napocna</w:t>
      </w:r>
      <w:proofErr w:type="spellEnd"/>
      <w:r w:rsidR="00E50127" w:rsidRPr="00236BA0">
        <w:rPr>
          <w:color w:val="000000"/>
        </w:rPr>
        <w:t xml:space="preserve"> </w:t>
      </w:r>
      <w:proofErr w:type="spellStart"/>
      <w:r w:rsidR="00E50127" w:rsidRPr="00236BA0">
        <w:rPr>
          <w:color w:val="000000"/>
        </w:rPr>
        <w:t>Navogoh</w:t>
      </w:r>
      <w:proofErr w:type="spellEnd"/>
      <w:r w:rsidR="00E50127" w:rsidRPr="00236BA0">
        <w:rPr>
          <w:color w:val="000000"/>
        </w:rPr>
        <w:t xml:space="preserve"> “La Primavera”, </w:t>
      </w:r>
      <w:proofErr w:type="spellStart"/>
      <w:r w:rsidR="00E50127" w:rsidRPr="00236BA0">
        <w:rPr>
          <w:color w:val="000000"/>
        </w:rPr>
        <w:t>Nam</w:t>
      </w:r>
      <w:proofErr w:type="spellEnd"/>
      <w:r w:rsidR="00E50127" w:rsidRPr="00236BA0">
        <w:rPr>
          <w:color w:val="000000"/>
        </w:rPr>
        <w:t xml:space="preserve"> Qom del Pueblo Qom</w:t>
      </w:r>
      <w:r w:rsidR="001F5CFC" w:rsidRPr="00236BA0">
        <w:rPr>
          <w:color w:val="000000"/>
        </w:rPr>
        <w:t xml:space="preserve"> y </w:t>
      </w:r>
      <w:r w:rsidR="001F5CFC" w:rsidRPr="00CC539B">
        <w:rPr>
          <w:color w:val="000000"/>
        </w:rPr>
        <w:t>la Comunidad India Quilmes, entre muchos otros</w:t>
      </w:r>
      <w:r w:rsidR="00E50127" w:rsidRPr="00CC539B">
        <w:t>.</w:t>
      </w:r>
      <w:r w:rsidR="00E50127" w:rsidRPr="00CC539B">
        <w:rPr>
          <w:color w:val="000000"/>
        </w:rPr>
        <w:t xml:space="preserve"> El Comité lamenta también </w:t>
      </w:r>
      <w:r w:rsidR="00E50127" w:rsidRPr="00CC539B">
        <w:t>la falta de</w:t>
      </w:r>
      <w:r w:rsidR="00E50127" w:rsidRPr="00236BA0">
        <w:t xml:space="preserve"> investigación y sanción de los actos violentos cometidos por las fuerzas de seguridad </w:t>
      </w:r>
      <w:r w:rsidR="001D37BE">
        <w:t xml:space="preserve">y terceros </w:t>
      </w:r>
      <w:r w:rsidR="00E50127" w:rsidRPr="00236BA0">
        <w:t xml:space="preserve">contra los </w:t>
      </w:r>
      <w:r w:rsidR="00167DB4" w:rsidRPr="00236BA0">
        <w:t xml:space="preserve">defensores de los derechos </w:t>
      </w:r>
      <w:r w:rsidR="00167DB4">
        <w:t xml:space="preserve">y </w:t>
      </w:r>
      <w:r w:rsidR="00E50127" w:rsidRPr="00236BA0">
        <w:t>miembros de l</w:t>
      </w:r>
      <w:r w:rsidR="00941D11">
        <w:t>o</w:t>
      </w:r>
      <w:r w:rsidR="00E50127" w:rsidRPr="00236BA0">
        <w:t xml:space="preserve">s </w:t>
      </w:r>
      <w:r w:rsidR="00941D11">
        <w:t>pueblos</w:t>
      </w:r>
      <w:r w:rsidR="00941D11" w:rsidRPr="00236BA0">
        <w:t xml:space="preserve"> </w:t>
      </w:r>
      <w:r w:rsidR="00E50127" w:rsidRPr="00236BA0">
        <w:t>indígenas</w:t>
      </w:r>
      <w:r w:rsidR="00EE59FF">
        <w:t>,</w:t>
      </w:r>
      <w:r w:rsidR="00E50127" w:rsidRPr="00236BA0">
        <w:t xml:space="preserve"> así como la falta de medidas para evitar estos hechos</w:t>
      </w:r>
      <w:r w:rsidR="00E50127">
        <w:t xml:space="preserve"> violentos </w:t>
      </w:r>
      <w:r w:rsidR="00E50127" w:rsidRPr="00477D2D">
        <w:rPr>
          <w:color w:val="000000"/>
        </w:rPr>
        <w:t xml:space="preserve">(art. 5). </w:t>
      </w:r>
    </w:p>
    <w:p w14:paraId="7AF28CC5" w14:textId="1353F40A" w:rsidR="0027187D" w:rsidRDefault="005720C5" w:rsidP="005720C5">
      <w:pPr>
        <w:pStyle w:val="SingleTxtG"/>
        <w:rPr>
          <w:b/>
          <w:bCs/>
        </w:rPr>
      </w:pPr>
      <w:r>
        <w:rPr>
          <w:bCs/>
        </w:rPr>
        <w:t>24.</w:t>
      </w:r>
      <w:r>
        <w:rPr>
          <w:bCs/>
        </w:rPr>
        <w:tab/>
      </w:r>
      <w:r w:rsidR="00635911" w:rsidRPr="00635911">
        <w:rPr>
          <w:b/>
          <w:bCs/>
        </w:rPr>
        <w:t>El Comité insta al Estado parte a</w:t>
      </w:r>
      <w:r w:rsidR="0027187D">
        <w:rPr>
          <w:b/>
          <w:bCs/>
        </w:rPr>
        <w:t>:</w:t>
      </w:r>
    </w:p>
    <w:p w14:paraId="488A76D8" w14:textId="5CFB8365" w:rsidR="009006B8" w:rsidRPr="00FF3FB7" w:rsidRDefault="00E12CF8" w:rsidP="005720C5">
      <w:pPr>
        <w:pStyle w:val="SingleTxtG"/>
        <w:ind w:firstLine="567"/>
        <w:rPr>
          <w:b/>
        </w:rPr>
      </w:pPr>
      <w:r w:rsidRPr="005720C5">
        <w:rPr>
          <w:bCs/>
        </w:rPr>
        <w:t>a)</w:t>
      </w:r>
      <w:r>
        <w:rPr>
          <w:b/>
        </w:rPr>
        <w:tab/>
      </w:r>
      <w:r w:rsidR="0027187D" w:rsidRPr="00FF3FB7">
        <w:rPr>
          <w:b/>
        </w:rPr>
        <w:t>A</w:t>
      </w:r>
      <w:r w:rsidR="009006B8" w:rsidRPr="00FF3FB7">
        <w:rPr>
          <w:b/>
        </w:rPr>
        <w:t>doptar todas las medidas necesarias</w:t>
      </w:r>
      <w:r w:rsidR="00635911" w:rsidRPr="00FF3FB7">
        <w:rPr>
          <w:b/>
        </w:rPr>
        <w:t xml:space="preserve"> para garantizar </w:t>
      </w:r>
      <w:r w:rsidR="00955EBF" w:rsidRPr="00FF3FB7">
        <w:rPr>
          <w:b/>
        </w:rPr>
        <w:t>la</w:t>
      </w:r>
      <w:r w:rsidR="00635911" w:rsidRPr="00FF3FB7">
        <w:rPr>
          <w:b/>
        </w:rPr>
        <w:t xml:space="preserve"> protección </w:t>
      </w:r>
      <w:r w:rsidR="00955EBF" w:rsidRPr="00FF3FB7">
        <w:rPr>
          <w:b/>
        </w:rPr>
        <w:t>de l</w:t>
      </w:r>
      <w:r w:rsidR="00941D11">
        <w:rPr>
          <w:b/>
        </w:rPr>
        <w:t>o</w:t>
      </w:r>
      <w:r w:rsidR="00955EBF" w:rsidRPr="00FF3FB7">
        <w:rPr>
          <w:b/>
        </w:rPr>
        <w:t xml:space="preserve">s </w:t>
      </w:r>
      <w:r w:rsidR="00941D11">
        <w:rPr>
          <w:b/>
        </w:rPr>
        <w:t>pueblos</w:t>
      </w:r>
      <w:r w:rsidR="00941D11" w:rsidRPr="00FF3FB7">
        <w:rPr>
          <w:b/>
        </w:rPr>
        <w:t xml:space="preserve"> </w:t>
      </w:r>
      <w:r w:rsidR="00955EBF" w:rsidRPr="00FF3FB7">
        <w:rPr>
          <w:b/>
        </w:rPr>
        <w:t xml:space="preserve">indígenas </w:t>
      </w:r>
      <w:r w:rsidR="00635911" w:rsidRPr="00FF3FB7">
        <w:rPr>
          <w:b/>
        </w:rPr>
        <w:t>frente a desalojos forzosos</w:t>
      </w:r>
      <w:r w:rsidR="0027187D" w:rsidRPr="00FF3FB7">
        <w:rPr>
          <w:b/>
        </w:rPr>
        <w:t>,</w:t>
      </w:r>
      <w:r w:rsidR="00955EBF" w:rsidRPr="00FF3FB7">
        <w:rPr>
          <w:b/>
        </w:rPr>
        <w:t xml:space="preserve"> garantizando el cumplimiento </w:t>
      </w:r>
      <w:r w:rsidR="0027187D" w:rsidRPr="00FF3FB7">
        <w:rPr>
          <w:b/>
        </w:rPr>
        <w:t xml:space="preserve">íntegro y </w:t>
      </w:r>
      <w:r w:rsidR="00955EBF" w:rsidRPr="00FF3FB7">
        <w:rPr>
          <w:b/>
        </w:rPr>
        <w:t>efectivo de la Ley 26160;</w:t>
      </w:r>
      <w:r w:rsidR="00635911" w:rsidRPr="00FF3FB7">
        <w:rPr>
          <w:b/>
        </w:rPr>
        <w:t xml:space="preserve"> </w:t>
      </w:r>
    </w:p>
    <w:p w14:paraId="7F4C5BB8" w14:textId="37ECAF41" w:rsidR="0027187D" w:rsidRPr="00FF3FB7" w:rsidRDefault="00E12CF8" w:rsidP="005720C5">
      <w:pPr>
        <w:pStyle w:val="SingleTxtG"/>
        <w:ind w:firstLine="567"/>
        <w:rPr>
          <w:b/>
        </w:rPr>
      </w:pPr>
      <w:r w:rsidRPr="005720C5">
        <w:rPr>
          <w:bCs/>
        </w:rPr>
        <w:t>b)</w:t>
      </w:r>
      <w:r>
        <w:rPr>
          <w:b/>
        </w:rPr>
        <w:tab/>
      </w:r>
      <w:r w:rsidR="0027187D" w:rsidRPr="00FF3FB7">
        <w:rPr>
          <w:b/>
        </w:rPr>
        <w:t xml:space="preserve">Adoptar medidas para garantizar la seguridad de los pueblos indígenas que sufren </w:t>
      </w:r>
      <w:r w:rsidR="0027187D" w:rsidRPr="00694D34">
        <w:rPr>
          <w:b/>
        </w:rPr>
        <w:t>amenazas, persecuciones y otros actos violentos tanto por parte de funcionarios públicos como</w:t>
      </w:r>
      <w:r w:rsidR="0027187D" w:rsidRPr="00FF3FB7">
        <w:rPr>
          <w:b/>
        </w:rPr>
        <w:t xml:space="preserve"> de particulares</w:t>
      </w:r>
      <w:r w:rsidR="00EE59FF">
        <w:rPr>
          <w:b/>
        </w:rPr>
        <w:t>,</w:t>
      </w:r>
      <w:r w:rsidR="0027187D" w:rsidRPr="00FF3FB7">
        <w:rPr>
          <w:b/>
        </w:rPr>
        <w:t xml:space="preserve"> y prevenir, investigar y sancionar dichos actos.</w:t>
      </w:r>
    </w:p>
    <w:p w14:paraId="4C43C267" w14:textId="0E0C2A3B" w:rsidR="0027187D" w:rsidRPr="00535D5D" w:rsidRDefault="00746E85" w:rsidP="0027187D">
      <w:pPr>
        <w:pStyle w:val="H23G"/>
        <w:spacing w:before="220"/>
        <w:ind w:left="1138" w:right="1138" w:hanging="1138"/>
      </w:pPr>
      <w:r>
        <w:tab/>
      </w:r>
      <w:r>
        <w:tab/>
      </w:r>
      <w:r w:rsidR="0027187D" w:rsidRPr="00535D5D">
        <w:t xml:space="preserve">Situación de defensores de derechos humanos </w:t>
      </w:r>
    </w:p>
    <w:p w14:paraId="5E85B65E" w14:textId="44D0A4ED" w:rsidR="0027187D" w:rsidRDefault="005720C5" w:rsidP="005720C5">
      <w:pPr>
        <w:pStyle w:val="SingleTxtG"/>
      </w:pPr>
      <w:r>
        <w:t>25.</w:t>
      </w:r>
      <w:r>
        <w:tab/>
      </w:r>
      <w:r w:rsidR="0027187D" w:rsidRPr="00A73A73">
        <w:t>El Comité está preocupado por</w:t>
      </w:r>
      <w:r w:rsidR="00E12CF8">
        <w:t xml:space="preserve"> </w:t>
      </w:r>
      <w:r w:rsidR="009F5358">
        <w:t xml:space="preserve">los </w:t>
      </w:r>
      <w:r w:rsidR="0027187D" w:rsidRPr="00A73A73">
        <w:t>actos de represalias, intimidación</w:t>
      </w:r>
      <w:r w:rsidR="00013A6C">
        <w:t xml:space="preserve"> y</w:t>
      </w:r>
      <w:r w:rsidR="0027187D" w:rsidRPr="00A73A73">
        <w:t xml:space="preserve"> amenazas en contra de defensores de derechos humanos</w:t>
      </w:r>
      <w:r w:rsidR="00013A6C">
        <w:t xml:space="preserve"> y miembros</w:t>
      </w:r>
      <w:r w:rsidR="009F5358">
        <w:t xml:space="preserve"> de l</w:t>
      </w:r>
      <w:r w:rsidR="002644D0">
        <w:t>os</w:t>
      </w:r>
      <w:r w:rsidR="009F5358">
        <w:t xml:space="preserve"> </w:t>
      </w:r>
      <w:r w:rsidR="002644D0">
        <w:t xml:space="preserve">pueblos </w:t>
      </w:r>
      <w:r w:rsidR="009F5358">
        <w:t>indígenas,</w:t>
      </w:r>
      <w:r w:rsidR="00013A6C">
        <w:t xml:space="preserve"> afrodescendientes y migrantes</w:t>
      </w:r>
      <w:r w:rsidR="004F107C">
        <w:t>, así como de la criminalización de la que son víctimas por sus actividades de defensa de los derechos humanos</w:t>
      </w:r>
      <w:r w:rsidR="00013A6C">
        <w:t xml:space="preserve">. En este sentido, el Comité está preocupado por entre otros, la </w:t>
      </w:r>
      <w:r w:rsidR="00013A6C" w:rsidRPr="00CC539B">
        <w:t xml:space="preserve">situación de </w:t>
      </w:r>
      <w:r w:rsidR="0027187D" w:rsidRPr="00CC539B">
        <w:t xml:space="preserve">Félix Díaz, líder de la Comunidad </w:t>
      </w:r>
      <w:proofErr w:type="spellStart"/>
      <w:r w:rsidR="0027187D" w:rsidRPr="00CC539B">
        <w:t>Potae</w:t>
      </w:r>
      <w:proofErr w:type="spellEnd"/>
      <w:r w:rsidR="0027187D" w:rsidRPr="00CC539B">
        <w:t xml:space="preserve"> </w:t>
      </w:r>
      <w:proofErr w:type="spellStart"/>
      <w:r w:rsidR="0027187D" w:rsidRPr="00CC539B">
        <w:t>Napocna</w:t>
      </w:r>
      <w:proofErr w:type="spellEnd"/>
      <w:r w:rsidR="0027187D" w:rsidRPr="00CC539B">
        <w:t xml:space="preserve"> </w:t>
      </w:r>
      <w:proofErr w:type="spellStart"/>
      <w:r w:rsidR="0027187D" w:rsidRPr="00CC539B">
        <w:t>Navogoh</w:t>
      </w:r>
      <w:proofErr w:type="spellEnd"/>
      <w:r w:rsidR="0027187D" w:rsidRPr="00CC539B">
        <w:t>, “La Primavera”</w:t>
      </w:r>
      <w:r w:rsidR="00013A6C" w:rsidRPr="00CC539B">
        <w:t xml:space="preserve">, y </w:t>
      </w:r>
      <w:r w:rsidR="001A109A" w:rsidRPr="00CC539B">
        <w:t>Mila</w:t>
      </w:r>
      <w:r w:rsidR="001A109A">
        <w:t>gro</w:t>
      </w:r>
      <w:r w:rsidR="00013A6C">
        <w:t xml:space="preserve"> Sala</w:t>
      </w:r>
      <w:r w:rsidR="00CA17C2">
        <w:t>, líder de la Organización Barrial</w:t>
      </w:r>
      <w:r w:rsidR="00CA17C2" w:rsidRPr="00CA17C2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CA17C2" w:rsidRPr="00CA17C2">
        <w:t>Tupac</w:t>
      </w:r>
      <w:proofErr w:type="spellEnd"/>
      <w:r w:rsidR="00CA17C2" w:rsidRPr="00CA17C2">
        <w:t xml:space="preserve"> Amaru</w:t>
      </w:r>
      <w:r w:rsidR="00013A6C">
        <w:t xml:space="preserve">. </w:t>
      </w:r>
      <w:r w:rsidR="0027187D" w:rsidRPr="00D859E5">
        <w:t xml:space="preserve">El Comité </w:t>
      </w:r>
      <w:r w:rsidR="00CA17C2">
        <w:t xml:space="preserve">está particularmente preocupado por la muerte de </w:t>
      </w:r>
      <w:proofErr w:type="spellStart"/>
      <w:r w:rsidR="00CA17C2">
        <w:t>Massar</w:t>
      </w:r>
      <w:proofErr w:type="spellEnd"/>
      <w:r w:rsidR="00CA17C2">
        <w:t xml:space="preserve"> Ba, líder de la comunidad senegalesa,</w:t>
      </w:r>
      <w:r w:rsidR="009F5358">
        <w:t xml:space="preserve"> en marzo de 2016.</w:t>
      </w:r>
      <w:r w:rsidR="00CA17C2">
        <w:t xml:space="preserve"> El Comité lamenta la falta de avances en la investigación de su asesinato y que a su </w:t>
      </w:r>
      <w:r w:rsidR="00EE59FF">
        <w:t>a</w:t>
      </w:r>
      <w:r w:rsidR="00CA17C2">
        <w:t>sociación, la Asociación de Residentes Senegaleses</w:t>
      </w:r>
      <w:r w:rsidR="00EE59FF">
        <w:t>,</w:t>
      </w:r>
      <w:r w:rsidR="00CA17C2">
        <w:t xml:space="preserve"> no se le permitiera </w:t>
      </w:r>
      <w:r w:rsidR="002A44DB">
        <w:t xml:space="preserve">constituirse </w:t>
      </w:r>
      <w:r w:rsidR="00CA17C2">
        <w:t xml:space="preserve">como parte </w:t>
      </w:r>
      <w:r w:rsidR="002A44DB">
        <w:t xml:space="preserve">en </w:t>
      </w:r>
      <w:r w:rsidR="00CA17C2">
        <w:t>la acción penal</w:t>
      </w:r>
      <w:r w:rsidR="00941D11">
        <w:t xml:space="preserve"> (art. 5)</w:t>
      </w:r>
      <w:r w:rsidR="00CA17C2">
        <w:t xml:space="preserve">. </w:t>
      </w:r>
    </w:p>
    <w:p w14:paraId="4AB222E4" w14:textId="707B49F1" w:rsidR="0027187D" w:rsidRPr="000D009A" w:rsidRDefault="005720C5" w:rsidP="005720C5">
      <w:pPr>
        <w:pStyle w:val="SingleTxtG"/>
        <w:rPr>
          <w:b/>
          <w:lang w:eastAsia="en-GB"/>
        </w:rPr>
      </w:pPr>
      <w:r w:rsidRPr="000D009A">
        <w:rPr>
          <w:lang w:eastAsia="en-GB"/>
        </w:rPr>
        <w:t>26.</w:t>
      </w:r>
      <w:r w:rsidRPr="000D009A">
        <w:rPr>
          <w:lang w:eastAsia="en-GB"/>
        </w:rPr>
        <w:tab/>
      </w:r>
      <w:r w:rsidR="0027187D" w:rsidRPr="000D009A">
        <w:rPr>
          <w:b/>
          <w:lang w:eastAsia="en-GB"/>
        </w:rPr>
        <w:t xml:space="preserve">El Comité </w:t>
      </w:r>
      <w:r w:rsidR="00676F09">
        <w:rPr>
          <w:b/>
          <w:bCs/>
        </w:rPr>
        <w:t>insta</w:t>
      </w:r>
      <w:r w:rsidR="0027187D" w:rsidRPr="000D009A">
        <w:rPr>
          <w:b/>
          <w:lang w:eastAsia="en-GB"/>
        </w:rPr>
        <w:t xml:space="preserve"> </w:t>
      </w:r>
      <w:r w:rsidR="0027187D">
        <w:rPr>
          <w:b/>
          <w:lang w:eastAsia="en-GB"/>
        </w:rPr>
        <w:t>a</w:t>
      </w:r>
      <w:r w:rsidR="0027187D" w:rsidRPr="000D009A">
        <w:rPr>
          <w:b/>
          <w:lang w:eastAsia="en-GB"/>
        </w:rPr>
        <w:t>l Estado parte</w:t>
      </w:r>
      <w:r w:rsidR="0027187D" w:rsidRPr="007718A4">
        <w:rPr>
          <w:b/>
          <w:lang w:eastAsia="en-GB"/>
        </w:rPr>
        <w:t xml:space="preserve"> </w:t>
      </w:r>
      <w:r w:rsidR="009F5358">
        <w:rPr>
          <w:b/>
          <w:lang w:eastAsia="en-GB"/>
        </w:rPr>
        <w:t xml:space="preserve">a </w:t>
      </w:r>
      <w:r w:rsidR="0027187D" w:rsidRPr="000D009A">
        <w:rPr>
          <w:b/>
          <w:lang w:eastAsia="en-GB"/>
        </w:rPr>
        <w:t xml:space="preserve">que: </w:t>
      </w:r>
    </w:p>
    <w:p w14:paraId="2EF17080" w14:textId="16788941" w:rsidR="0027187D" w:rsidRPr="00FF3FB7" w:rsidRDefault="00E12CF8" w:rsidP="005720C5">
      <w:pPr>
        <w:pStyle w:val="SingleTxtG"/>
        <w:ind w:firstLine="567"/>
        <w:rPr>
          <w:b/>
        </w:rPr>
      </w:pPr>
      <w:r w:rsidRPr="005720C5">
        <w:rPr>
          <w:bCs/>
        </w:rPr>
        <w:t>a)</w:t>
      </w:r>
      <w:r>
        <w:rPr>
          <w:b/>
        </w:rPr>
        <w:tab/>
      </w:r>
      <w:r w:rsidR="0027187D" w:rsidRPr="00FF3FB7">
        <w:rPr>
          <w:b/>
        </w:rPr>
        <w:t>Adopte todas las medidas n</w:t>
      </w:r>
      <w:r w:rsidR="00B600AB" w:rsidRPr="00FF3FB7">
        <w:rPr>
          <w:b/>
        </w:rPr>
        <w:t>ecesarias para la protección de</w:t>
      </w:r>
      <w:r w:rsidR="0027187D" w:rsidRPr="00FF3FB7">
        <w:rPr>
          <w:b/>
        </w:rPr>
        <w:t xml:space="preserve"> defensores de los derechos humanos, incluidos los líderes y </w:t>
      </w:r>
      <w:r w:rsidR="004F107C" w:rsidRPr="00FF3FB7">
        <w:rPr>
          <w:b/>
        </w:rPr>
        <w:t xml:space="preserve">miembros de las comunidades </w:t>
      </w:r>
      <w:r w:rsidR="0027187D" w:rsidRPr="00FF3FB7">
        <w:rPr>
          <w:b/>
        </w:rPr>
        <w:t xml:space="preserve">indígenas, </w:t>
      </w:r>
      <w:r w:rsidR="00676F09" w:rsidRPr="00FF3FB7">
        <w:rPr>
          <w:b/>
        </w:rPr>
        <w:t>afrodescendientes y migrantes</w:t>
      </w:r>
      <w:r w:rsidR="00B600AB" w:rsidRPr="00FF3FB7">
        <w:rPr>
          <w:b/>
        </w:rPr>
        <w:t>,</w:t>
      </w:r>
      <w:r w:rsidR="00676F09" w:rsidRPr="00FF3FB7">
        <w:rPr>
          <w:b/>
        </w:rPr>
        <w:t xml:space="preserve"> </w:t>
      </w:r>
      <w:r w:rsidR="0027187D" w:rsidRPr="00FF3FB7">
        <w:rPr>
          <w:b/>
        </w:rPr>
        <w:t>contra todo acto de intimidación</w:t>
      </w:r>
      <w:r w:rsidR="00B600AB" w:rsidRPr="00FF3FB7">
        <w:rPr>
          <w:b/>
        </w:rPr>
        <w:t xml:space="preserve"> y violencia</w:t>
      </w:r>
      <w:r w:rsidR="0027187D" w:rsidRPr="00FF3FB7">
        <w:rPr>
          <w:b/>
        </w:rPr>
        <w:t xml:space="preserve">, así como de cualquier acto arbitrario por parte de autoridades públicas o entes privados, como consecuencia del ejercicio de sus funciones; </w:t>
      </w:r>
    </w:p>
    <w:p w14:paraId="7F75B903" w14:textId="3B325E4C" w:rsidR="0027187D" w:rsidRPr="00FF3FB7" w:rsidRDefault="00E12CF8" w:rsidP="005720C5">
      <w:pPr>
        <w:pStyle w:val="SingleTxtG"/>
        <w:ind w:firstLine="567"/>
        <w:rPr>
          <w:rFonts w:eastAsia="SimSun"/>
          <w:b/>
        </w:rPr>
      </w:pPr>
      <w:r w:rsidRPr="005720C5">
        <w:rPr>
          <w:rFonts w:eastAsia="SimSun"/>
          <w:bCs/>
        </w:rPr>
        <w:t>b)</w:t>
      </w:r>
      <w:r>
        <w:rPr>
          <w:rFonts w:eastAsia="SimSun"/>
          <w:b/>
        </w:rPr>
        <w:tab/>
      </w:r>
      <w:r w:rsidR="0027187D" w:rsidRPr="00FF3FB7">
        <w:rPr>
          <w:rFonts w:eastAsia="SimSun"/>
          <w:b/>
        </w:rPr>
        <w:t xml:space="preserve">Investigue todo acto de </w:t>
      </w:r>
      <w:r w:rsidR="00B600AB" w:rsidRPr="00FF3FB7">
        <w:rPr>
          <w:rFonts w:eastAsia="SimSun"/>
          <w:b/>
        </w:rPr>
        <w:t>intimidación</w:t>
      </w:r>
      <w:r w:rsidR="0027187D" w:rsidRPr="00FF3FB7">
        <w:rPr>
          <w:rFonts w:eastAsia="SimSun"/>
          <w:b/>
        </w:rPr>
        <w:t xml:space="preserve"> </w:t>
      </w:r>
      <w:r w:rsidR="005479D6" w:rsidRPr="00FF3FB7">
        <w:rPr>
          <w:rFonts w:eastAsia="SimSun"/>
          <w:b/>
        </w:rPr>
        <w:t xml:space="preserve">y violencia </w:t>
      </w:r>
      <w:r w:rsidR="0027187D" w:rsidRPr="00FF3FB7">
        <w:rPr>
          <w:rFonts w:eastAsia="SimSun"/>
          <w:b/>
        </w:rPr>
        <w:t xml:space="preserve">contra defensores de </w:t>
      </w:r>
      <w:r w:rsidR="0027187D" w:rsidRPr="00FF3FB7">
        <w:rPr>
          <w:b/>
        </w:rPr>
        <w:t>derechos</w:t>
      </w:r>
      <w:r w:rsidR="0027187D" w:rsidRPr="00FF3FB7">
        <w:rPr>
          <w:rFonts w:eastAsia="SimSun"/>
          <w:b/>
        </w:rPr>
        <w:t xml:space="preserve"> humanos</w:t>
      </w:r>
      <w:r w:rsidR="00B600AB" w:rsidRPr="00FF3FB7">
        <w:rPr>
          <w:rFonts w:eastAsia="SimSun"/>
          <w:b/>
        </w:rPr>
        <w:t xml:space="preserve"> y sus comunidades</w:t>
      </w:r>
      <w:r w:rsidR="0027187D" w:rsidRPr="00FF3FB7">
        <w:rPr>
          <w:rFonts w:eastAsia="SimSun"/>
          <w:b/>
        </w:rPr>
        <w:t xml:space="preserve">, y castigue </w:t>
      </w:r>
      <w:r w:rsidR="005479D6" w:rsidRPr="00FF3FB7">
        <w:rPr>
          <w:rFonts w:eastAsia="SimSun"/>
          <w:b/>
        </w:rPr>
        <w:t>debidamente a los responsables</w:t>
      </w:r>
      <w:r w:rsidR="00B600AB" w:rsidRPr="00FF3FB7">
        <w:rPr>
          <w:rFonts w:eastAsia="SimSun"/>
          <w:b/>
        </w:rPr>
        <w:t xml:space="preserve">. En este sentido, el Comité llama en particular la atención del Estado parte </w:t>
      </w:r>
      <w:r w:rsidR="005479D6" w:rsidRPr="00FF3FB7">
        <w:rPr>
          <w:rFonts w:eastAsia="SimSun"/>
          <w:b/>
        </w:rPr>
        <w:t xml:space="preserve">respecto </w:t>
      </w:r>
      <w:r w:rsidR="00B600AB" w:rsidRPr="00FF3FB7">
        <w:rPr>
          <w:rFonts w:eastAsia="SimSun"/>
          <w:b/>
        </w:rPr>
        <w:t xml:space="preserve">a </w:t>
      </w:r>
      <w:r w:rsidR="005479D6" w:rsidRPr="00FF3FB7">
        <w:rPr>
          <w:rFonts w:eastAsia="SimSun"/>
          <w:b/>
        </w:rPr>
        <w:t xml:space="preserve">la muerte de </w:t>
      </w:r>
      <w:proofErr w:type="spellStart"/>
      <w:r w:rsidR="005479D6" w:rsidRPr="00FF3FB7">
        <w:rPr>
          <w:rFonts w:eastAsia="SimSun"/>
          <w:b/>
        </w:rPr>
        <w:t>Massar</w:t>
      </w:r>
      <w:proofErr w:type="spellEnd"/>
      <w:r w:rsidR="005479D6" w:rsidRPr="00FF3FB7">
        <w:rPr>
          <w:rFonts w:eastAsia="SimSun"/>
          <w:b/>
        </w:rPr>
        <w:t xml:space="preserve"> Ba</w:t>
      </w:r>
      <w:r w:rsidR="00302A9B">
        <w:rPr>
          <w:rFonts w:eastAsia="SimSun"/>
          <w:b/>
        </w:rPr>
        <w:t>;</w:t>
      </w:r>
    </w:p>
    <w:p w14:paraId="6074685A" w14:textId="02FE6DFD" w:rsidR="00B600AB" w:rsidRPr="005720C5" w:rsidRDefault="00E12CF8" w:rsidP="005720C5">
      <w:pPr>
        <w:pStyle w:val="SingleTxtG"/>
        <w:ind w:firstLine="567"/>
        <w:rPr>
          <w:rFonts w:eastAsia="SimSun"/>
          <w:b/>
        </w:rPr>
      </w:pPr>
      <w:r w:rsidRPr="005720C5">
        <w:rPr>
          <w:rFonts w:eastAsia="SimSun"/>
          <w:bCs/>
        </w:rPr>
        <w:t>c)</w:t>
      </w:r>
      <w:r>
        <w:rPr>
          <w:rFonts w:eastAsia="SimSun"/>
          <w:b/>
        </w:rPr>
        <w:tab/>
      </w:r>
      <w:r w:rsidR="001A109A" w:rsidRPr="00FF3FB7">
        <w:rPr>
          <w:rFonts w:eastAsia="SimSun"/>
          <w:b/>
        </w:rPr>
        <w:t xml:space="preserve">Garantice el acceso efectivo a la justicia, y el respeto a los derechos fundamentales y las garantías al debido proceso en los juicios que se siguen contra defensores de los derechos </w:t>
      </w:r>
      <w:r w:rsidR="00590683">
        <w:rPr>
          <w:rFonts w:eastAsia="SimSun"/>
          <w:b/>
        </w:rPr>
        <w:t xml:space="preserve">humanos </w:t>
      </w:r>
      <w:r w:rsidR="009F5358" w:rsidRPr="00FF3FB7">
        <w:rPr>
          <w:rFonts w:eastAsia="SimSun"/>
          <w:b/>
        </w:rPr>
        <w:t xml:space="preserve">y miembros de las comunidades </w:t>
      </w:r>
      <w:r w:rsidR="001A109A" w:rsidRPr="00FF3FB7">
        <w:rPr>
          <w:rFonts w:eastAsia="SimSun"/>
          <w:b/>
        </w:rPr>
        <w:t xml:space="preserve">indígenas, afrodescendientes y migrantes, incluyendo los casos de Milagro Sala y Félix Díaz. En el caso de Milagro Sala, el Comité invita al Estado parte a implementar las medidas </w:t>
      </w:r>
      <w:r w:rsidR="00B21812">
        <w:rPr>
          <w:rFonts w:eastAsia="SimSun"/>
          <w:b/>
        </w:rPr>
        <w:t xml:space="preserve">solicitadas </w:t>
      </w:r>
      <w:r w:rsidR="001A109A" w:rsidRPr="00FF3FB7">
        <w:rPr>
          <w:rFonts w:eastAsia="SimSun"/>
          <w:b/>
        </w:rPr>
        <w:t xml:space="preserve">por el </w:t>
      </w:r>
      <w:r w:rsidR="00502A76" w:rsidRPr="00FF3FB7">
        <w:rPr>
          <w:rFonts w:eastAsia="SimSun"/>
          <w:b/>
        </w:rPr>
        <w:t xml:space="preserve">Grupo de Trabajo sobre la </w:t>
      </w:r>
      <w:r w:rsidR="00EE59FF">
        <w:rPr>
          <w:rFonts w:eastAsia="SimSun"/>
          <w:b/>
        </w:rPr>
        <w:t>D</w:t>
      </w:r>
      <w:r w:rsidR="00502A76" w:rsidRPr="00FF3FB7">
        <w:rPr>
          <w:rFonts w:eastAsia="SimSun"/>
          <w:b/>
        </w:rPr>
        <w:t xml:space="preserve">etención </w:t>
      </w:r>
      <w:r w:rsidR="00EE59FF">
        <w:rPr>
          <w:rFonts w:eastAsia="SimSun"/>
          <w:b/>
        </w:rPr>
        <w:t>A</w:t>
      </w:r>
      <w:r w:rsidR="00502A76" w:rsidRPr="00FF3FB7">
        <w:rPr>
          <w:rFonts w:eastAsia="SimSun"/>
          <w:b/>
        </w:rPr>
        <w:t>rbitraria</w:t>
      </w:r>
      <w:r w:rsidR="00B21812">
        <w:rPr>
          <w:rFonts w:eastAsia="SimSun"/>
          <w:b/>
        </w:rPr>
        <w:t xml:space="preserve"> (</w:t>
      </w:r>
      <w:r w:rsidR="00B21812" w:rsidRPr="005720C5">
        <w:rPr>
          <w:rFonts w:eastAsia="SimSun"/>
          <w:b/>
        </w:rPr>
        <w:t>A/HRC/WGAD/2016/31</w:t>
      </w:r>
      <w:r w:rsidR="00A96804">
        <w:rPr>
          <w:rFonts w:eastAsia="SimSun"/>
          <w:b/>
        </w:rPr>
        <w:t>, párr. 1</w:t>
      </w:r>
      <w:r w:rsidR="001E2446">
        <w:rPr>
          <w:rFonts w:eastAsia="SimSun"/>
          <w:b/>
        </w:rPr>
        <w:t>17</w:t>
      </w:r>
      <w:r w:rsidR="00B21812" w:rsidRPr="005720C5">
        <w:rPr>
          <w:rFonts w:eastAsia="SimSun"/>
          <w:b/>
        </w:rPr>
        <w:t>)</w:t>
      </w:r>
      <w:r w:rsidR="00B21812">
        <w:rPr>
          <w:rFonts w:eastAsia="SimSun"/>
          <w:b/>
        </w:rPr>
        <w:t>.</w:t>
      </w:r>
    </w:p>
    <w:p w14:paraId="18DAF279" w14:textId="125043C7" w:rsidR="00634732" w:rsidRDefault="00746E85" w:rsidP="00A04834">
      <w:pPr>
        <w:pStyle w:val="H23G"/>
        <w:spacing w:before="220"/>
        <w:ind w:left="1138" w:right="1138" w:hanging="1138"/>
      </w:pPr>
      <w:r>
        <w:tab/>
      </w:r>
      <w:r>
        <w:tab/>
      </w:r>
      <w:r w:rsidR="006469E2" w:rsidRPr="00646E1A">
        <w:t>Acceso a la educación</w:t>
      </w:r>
      <w:r w:rsidR="00933976" w:rsidRPr="00DF78B9">
        <w:t xml:space="preserve"> </w:t>
      </w:r>
    </w:p>
    <w:p w14:paraId="498573C3" w14:textId="56CF79AA" w:rsidR="00B17B2B" w:rsidRPr="004E65FE" w:rsidRDefault="005720C5" w:rsidP="005720C5">
      <w:pPr>
        <w:pStyle w:val="SingleTxtG"/>
        <w:rPr>
          <w:color w:val="000000"/>
          <w:lang w:eastAsia="en-GB"/>
        </w:rPr>
      </w:pPr>
      <w:r w:rsidRPr="004E65FE">
        <w:rPr>
          <w:color w:val="000000"/>
          <w:lang w:eastAsia="en-GB"/>
        </w:rPr>
        <w:t>27.</w:t>
      </w:r>
      <w:r w:rsidRPr="004E65FE">
        <w:rPr>
          <w:color w:val="000000"/>
          <w:lang w:eastAsia="en-GB"/>
        </w:rPr>
        <w:tab/>
      </w:r>
      <w:r w:rsidR="00A737FE" w:rsidRPr="004E65FE">
        <w:rPr>
          <w:color w:val="000000"/>
          <w:lang w:eastAsia="en-GB"/>
        </w:rPr>
        <w:t xml:space="preserve">El Comité </w:t>
      </w:r>
      <w:r w:rsidR="004E65FE" w:rsidRPr="004E65FE">
        <w:rPr>
          <w:color w:val="000000"/>
          <w:lang w:eastAsia="en-GB"/>
        </w:rPr>
        <w:t xml:space="preserve">lamenta la falta de datos </w:t>
      </w:r>
      <w:r w:rsidR="00102A02">
        <w:rPr>
          <w:color w:val="000000"/>
          <w:lang w:eastAsia="en-GB"/>
        </w:rPr>
        <w:t xml:space="preserve">estadísticos </w:t>
      </w:r>
      <w:r w:rsidR="004E65FE" w:rsidRPr="004E65FE">
        <w:rPr>
          <w:color w:val="000000"/>
          <w:lang w:eastAsia="en-GB"/>
        </w:rPr>
        <w:t xml:space="preserve">desglosados sobre el nivel </w:t>
      </w:r>
      <w:r w:rsidR="00102A02">
        <w:rPr>
          <w:color w:val="000000"/>
          <w:lang w:eastAsia="en-GB"/>
        </w:rPr>
        <w:t xml:space="preserve">de </w:t>
      </w:r>
      <w:r w:rsidR="00102A02" w:rsidRPr="007E15BD">
        <w:t>alfabetización</w:t>
      </w:r>
      <w:r w:rsidR="00102A02">
        <w:rPr>
          <w:color w:val="000000"/>
          <w:lang w:eastAsia="en-GB"/>
        </w:rPr>
        <w:t xml:space="preserve"> y </w:t>
      </w:r>
      <w:r w:rsidR="004E65FE" w:rsidRPr="004E65FE">
        <w:rPr>
          <w:color w:val="000000"/>
          <w:lang w:eastAsia="en-GB"/>
        </w:rPr>
        <w:t xml:space="preserve">de acceso a la </w:t>
      </w:r>
      <w:r w:rsidR="00C044E5" w:rsidRPr="004E65FE">
        <w:rPr>
          <w:color w:val="000000"/>
          <w:lang w:eastAsia="en-GB"/>
        </w:rPr>
        <w:t>educación</w:t>
      </w:r>
      <w:r w:rsidR="004E65FE" w:rsidRPr="004E65FE">
        <w:rPr>
          <w:color w:val="000000"/>
          <w:lang w:eastAsia="en-GB"/>
        </w:rPr>
        <w:t xml:space="preserve"> primaria, secundaria y universitaria de los miembros de l</w:t>
      </w:r>
      <w:r w:rsidR="00941D11">
        <w:rPr>
          <w:color w:val="000000"/>
          <w:lang w:eastAsia="en-GB"/>
        </w:rPr>
        <w:t>o</w:t>
      </w:r>
      <w:r w:rsidR="004E65FE" w:rsidRPr="004E65FE">
        <w:rPr>
          <w:color w:val="000000"/>
          <w:lang w:eastAsia="en-GB"/>
        </w:rPr>
        <w:t xml:space="preserve">s </w:t>
      </w:r>
      <w:r w:rsidR="00941D11">
        <w:rPr>
          <w:color w:val="000000"/>
          <w:lang w:eastAsia="en-GB"/>
        </w:rPr>
        <w:t>pueblos</w:t>
      </w:r>
      <w:r w:rsidR="00941D11" w:rsidRPr="004E65FE">
        <w:rPr>
          <w:color w:val="000000"/>
          <w:lang w:eastAsia="en-GB"/>
        </w:rPr>
        <w:t xml:space="preserve"> </w:t>
      </w:r>
      <w:r w:rsidR="004E65FE" w:rsidRPr="004E65FE">
        <w:rPr>
          <w:color w:val="000000"/>
          <w:lang w:eastAsia="en-GB"/>
        </w:rPr>
        <w:t xml:space="preserve">indígenas, afrodescendientes y migrantes. </w:t>
      </w:r>
      <w:r w:rsidR="00553086">
        <w:rPr>
          <w:color w:val="000000"/>
          <w:lang w:eastAsia="en-GB"/>
        </w:rPr>
        <w:t xml:space="preserve">El Comité toma nota de los esfuerzos desarrollados para llevar a la práctica </w:t>
      </w:r>
      <w:r w:rsidR="00C81A1B">
        <w:rPr>
          <w:color w:val="000000"/>
          <w:lang w:eastAsia="en-GB"/>
        </w:rPr>
        <w:t>el derecho a la educación intercultural bilingüe pero</w:t>
      </w:r>
      <w:r w:rsidR="00553086">
        <w:rPr>
          <w:color w:val="000000"/>
          <w:lang w:eastAsia="en-GB"/>
        </w:rPr>
        <w:t xml:space="preserve"> lamenta la falta de avances</w:t>
      </w:r>
      <w:r w:rsidR="00C81A1B">
        <w:rPr>
          <w:color w:val="000000"/>
          <w:lang w:eastAsia="en-GB"/>
        </w:rPr>
        <w:t xml:space="preserve">, </w:t>
      </w:r>
      <w:r w:rsidR="00553086">
        <w:rPr>
          <w:color w:val="000000"/>
          <w:lang w:eastAsia="en-GB"/>
        </w:rPr>
        <w:t>entre otras razones</w:t>
      </w:r>
      <w:r w:rsidR="00C81A1B">
        <w:rPr>
          <w:color w:val="000000"/>
          <w:lang w:eastAsia="en-GB"/>
        </w:rPr>
        <w:t>,</w:t>
      </w:r>
      <w:r w:rsidR="00553086" w:rsidRPr="00553086">
        <w:rPr>
          <w:color w:val="000000"/>
          <w:lang w:eastAsia="en-GB"/>
        </w:rPr>
        <w:t xml:space="preserve"> </w:t>
      </w:r>
      <w:r w:rsidR="00C81A1B">
        <w:rPr>
          <w:color w:val="000000"/>
          <w:lang w:eastAsia="en-GB"/>
        </w:rPr>
        <w:t xml:space="preserve">por </w:t>
      </w:r>
      <w:r w:rsidR="00553086" w:rsidRPr="00553086">
        <w:rPr>
          <w:color w:val="000000"/>
          <w:lang w:eastAsia="en-GB"/>
        </w:rPr>
        <w:t>el reducido</w:t>
      </w:r>
      <w:r w:rsidR="00553086">
        <w:rPr>
          <w:color w:val="000000"/>
          <w:lang w:eastAsia="en-GB"/>
        </w:rPr>
        <w:t xml:space="preserve"> número de maestros de comunidades indígenas y las dificultades que éstos encuentran en el acceso a cursos de capacitación </w:t>
      </w:r>
      <w:r w:rsidR="001A41A7" w:rsidRPr="004E65FE">
        <w:t>(art.</w:t>
      </w:r>
      <w:r w:rsidR="002E562C" w:rsidRPr="004E65FE">
        <w:t> </w:t>
      </w:r>
      <w:r w:rsidR="004E65FE">
        <w:t>5</w:t>
      </w:r>
      <w:r w:rsidR="001A41A7" w:rsidRPr="004E65FE">
        <w:t>).</w:t>
      </w:r>
      <w:r w:rsidR="005365DF" w:rsidRPr="004E65FE">
        <w:rPr>
          <w:color w:val="000000"/>
          <w:lang w:eastAsia="en-GB"/>
        </w:rPr>
        <w:t xml:space="preserve"> </w:t>
      </w:r>
    </w:p>
    <w:p w14:paraId="7D8DC727" w14:textId="087DA27E" w:rsidR="00F103CE" w:rsidRPr="00C81A1B" w:rsidRDefault="005720C5" w:rsidP="005720C5">
      <w:pPr>
        <w:pStyle w:val="SingleTxtG"/>
        <w:rPr>
          <w:b/>
          <w:bCs/>
          <w:color w:val="000000"/>
          <w:lang w:eastAsia="en-US"/>
        </w:rPr>
      </w:pPr>
      <w:r w:rsidRPr="00C81A1B">
        <w:rPr>
          <w:bCs/>
          <w:color w:val="000000"/>
          <w:lang w:eastAsia="en-US"/>
        </w:rPr>
        <w:t>28.</w:t>
      </w:r>
      <w:r w:rsidRPr="00C81A1B">
        <w:rPr>
          <w:bCs/>
          <w:color w:val="000000"/>
          <w:lang w:eastAsia="en-US"/>
        </w:rPr>
        <w:tab/>
      </w:r>
      <w:r w:rsidR="00746EB8" w:rsidRPr="00C81A1B">
        <w:rPr>
          <w:b/>
          <w:bCs/>
          <w:color w:val="000000"/>
          <w:lang w:eastAsia="en-US"/>
        </w:rPr>
        <w:t xml:space="preserve">El Comité recomienda </w:t>
      </w:r>
      <w:r w:rsidR="001A41A7" w:rsidRPr="00C81A1B">
        <w:rPr>
          <w:b/>
          <w:bCs/>
          <w:color w:val="000000"/>
          <w:lang w:eastAsia="en-US"/>
        </w:rPr>
        <w:t>a</w:t>
      </w:r>
      <w:r w:rsidR="00746EB8" w:rsidRPr="00C81A1B">
        <w:rPr>
          <w:b/>
          <w:bCs/>
          <w:color w:val="000000"/>
          <w:lang w:eastAsia="en-US"/>
        </w:rPr>
        <w:t>l Estado parte</w:t>
      </w:r>
      <w:r w:rsidR="001A41A7" w:rsidRPr="00C81A1B">
        <w:rPr>
          <w:b/>
          <w:bCs/>
          <w:color w:val="000000"/>
          <w:lang w:eastAsia="en-US"/>
        </w:rPr>
        <w:t xml:space="preserve"> que</w:t>
      </w:r>
      <w:r w:rsidR="00746EB8" w:rsidRPr="00C81A1B">
        <w:rPr>
          <w:b/>
          <w:bCs/>
          <w:color w:val="000000"/>
          <w:lang w:eastAsia="en-US"/>
        </w:rPr>
        <w:t xml:space="preserve"> </w:t>
      </w:r>
      <w:r w:rsidR="001A41A7" w:rsidRPr="00C81A1B">
        <w:rPr>
          <w:b/>
          <w:bCs/>
          <w:color w:val="000000"/>
          <w:lang w:eastAsia="en-US"/>
        </w:rPr>
        <w:t>incremente</w:t>
      </w:r>
      <w:r w:rsidR="005655D8" w:rsidRPr="00C81A1B">
        <w:rPr>
          <w:b/>
          <w:bCs/>
          <w:color w:val="000000"/>
          <w:lang w:eastAsia="en-US"/>
        </w:rPr>
        <w:t xml:space="preserve"> sus esfuerzos para</w:t>
      </w:r>
      <w:r w:rsidR="008B0579" w:rsidRPr="00C81A1B">
        <w:rPr>
          <w:b/>
          <w:bCs/>
          <w:color w:val="000000"/>
          <w:lang w:eastAsia="en-US"/>
        </w:rPr>
        <w:t xml:space="preserve"> </w:t>
      </w:r>
      <w:r w:rsidR="005655D8" w:rsidRPr="00C81A1B">
        <w:rPr>
          <w:b/>
          <w:bCs/>
          <w:color w:val="000000"/>
          <w:lang w:eastAsia="en-US"/>
        </w:rPr>
        <w:t xml:space="preserve">garantizar la disponibilidad, </w:t>
      </w:r>
      <w:r w:rsidR="005655D8" w:rsidRPr="00C81A1B">
        <w:rPr>
          <w:b/>
        </w:rPr>
        <w:t>accesibilidad</w:t>
      </w:r>
      <w:r w:rsidR="005655D8" w:rsidRPr="00C81A1B">
        <w:rPr>
          <w:b/>
          <w:bCs/>
          <w:color w:val="000000"/>
          <w:lang w:eastAsia="en-US"/>
        </w:rPr>
        <w:t xml:space="preserve"> y calidad de la educación </w:t>
      </w:r>
      <w:r w:rsidR="00535D5D">
        <w:rPr>
          <w:b/>
          <w:bCs/>
          <w:color w:val="000000"/>
          <w:lang w:eastAsia="en-US"/>
        </w:rPr>
        <w:t xml:space="preserve">a todos los niveles </w:t>
      </w:r>
      <w:r w:rsidR="005655D8" w:rsidRPr="00C81A1B">
        <w:rPr>
          <w:b/>
          <w:bCs/>
          <w:color w:val="000000"/>
          <w:lang w:eastAsia="en-US"/>
        </w:rPr>
        <w:t xml:space="preserve">para los </w:t>
      </w:r>
      <w:r w:rsidR="005655D8" w:rsidRPr="009C4E42">
        <w:rPr>
          <w:b/>
        </w:rPr>
        <w:t>niños</w:t>
      </w:r>
      <w:r w:rsidR="005655D8" w:rsidRPr="00C81A1B">
        <w:rPr>
          <w:b/>
          <w:bCs/>
          <w:color w:val="000000"/>
          <w:lang w:eastAsia="en-US"/>
        </w:rPr>
        <w:t xml:space="preserve"> indígenas</w:t>
      </w:r>
      <w:r w:rsidR="00443C5E">
        <w:rPr>
          <w:b/>
          <w:bCs/>
          <w:color w:val="000000"/>
          <w:lang w:eastAsia="en-US"/>
        </w:rPr>
        <w:t>,</w:t>
      </w:r>
      <w:r w:rsidR="009C4E42">
        <w:rPr>
          <w:b/>
          <w:bCs/>
          <w:color w:val="000000"/>
          <w:lang w:eastAsia="en-US"/>
        </w:rPr>
        <w:t xml:space="preserve"> </w:t>
      </w:r>
      <w:r w:rsidR="009C4E42" w:rsidRPr="00694D34">
        <w:rPr>
          <w:b/>
          <w:bCs/>
          <w:color w:val="000000"/>
          <w:lang w:eastAsia="en-US"/>
        </w:rPr>
        <w:t>incluso en su lengua materna</w:t>
      </w:r>
      <w:r w:rsidR="008B0579" w:rsidRPr="00C81A1B">
        <w:rPr>
          <w:b/>
          <w:bCs/>
          <w:color w:val="000000"/>
          <w:lang w:eastAsia="en-GB"/>
        </w:rPr>
        <w:t>. Le recomienda, a</w:t>
      </w:r>
      <w:r w:rsidR="00746EB8" w:rsidRPr="00C81A1B">
        <w:rPr>
          <w:b/>
          <w:bCs/>
          <w:color w:val="000000"/>
          <w:lang w:eastAsia="en-US"/>
        </w:rPr>
        <w:t xml:space="preserve">demás, </w:t>
      </w:r>
      <w:r w:rsidR="001A41A7" w:rsidRPr="00C81A1B">
        <w:rPr>
          <w:b/>
          <w:bCs/>
          <w:color w:val="000000"/>
          <w:lang w:eastAsia="en-US"/>
        </w:rPr>
        <w:t xml:space="preserve">continuar sus esfuerzos </w:t>
      </w:r>
      <w:r w:rsidR="001C2606" w:rsidRPr="00C81A1B">
        <w:rPr>
          <w:b/>
          <w:bCs/>
          <w:color w:val="000000"/>
          <w:lang w:eastAsia="en-US"/>
        </w:rPr>
        <w:t xml:space="preserve">para </w:t>
      </w:r>
      <w:r w:rsidR="00C81A1B" w:rsidRPr="00C81A1B">
        <w:rPr>
          <w:b/>
          <w:bCs/>
          <w:color w:val="000000"/>
          <w:lang w:eastAsia="en-US"/>
        </w:rPr>
        <w:t xml:space="preserve">incrementar el número de maestros de comunidades indígenas, por entre otras medidas </w:t>
      </w:r>
      <w:r w:rsidR="008D79C4">
        <w:rPr>
          <w:b/>
          <w:bCs/>
          <w:color w:val="000000"/>
          <w:lang w:eastAsia="en-US"/>
        </w:rPr>
        <w:t xml:space="preserve">la facilitación de </w:t>
      </w:r>
      <w:r w:rsidR="00C81A1B" w:rsidRPr="00C81A1B">
        <w:rPr>
          <w:b/>
          <w:bCs/>
          <w:color w:val="000000"/>
          <w:lang w:eastAsia="en-US"/>
        </w:rPr>
        <w:t>su acceso a cursos de capacitación</w:t>
      </w:r>
      <w:r w:rsidR="005655D8" w:rsidRPr="00C81A1B">
        <w:rPr>
          <w:b/>
          <w:bCs/>
          <w:color w:val="000000"/>
          <w:lang w:eastAsia="en-US"/>
        </w:rPr>
        <w:t>.</w:t>
      </w:r>
      <w:r w:rsidR="005655D8" w:rsidRPr="008B0579">
        <w:rPr>
          <w:b/>
          <w:bCs/>
          <w:color w:val="000000"/>
          <w:lang w:eastAsia="en-US"/>
        </w:rPr>
        <w:t xml:space="preserve"> </w:t>
      </w:r>
    </w:p>
    <w:p w14:paraId="6405788B" w14:textId="26EBEB18" w:rsidR="001A41A7" w:rsidRDefault="001A41A7" w:rsidP="00A04834">
      <w:pPr>
        <w:pStyle w:val="H23G"/>
        <w:spacing w:before="220"/>
        <w:ind w:left="1138" w:right="1138" w:hanging="1138"/>
      </w:pPr>
      <w:r>
        <w:tab/>
      </w:r>
      <w:r>
        <w:tab/>
      </w:r>
      <w:r w:rsidRPr="00C66B34">
        <w:t>Acceso a la justicia</w:t>
      </w:r>
      <w:r w:rsidRPr="000D009A">
        <w:t xml:space="preserve"> </w:t>
      </w:r>
    </w:p>
    <w:p w14:paraId="40EE679B" w14:textId="56AEBC60" w:rsidR="001A41A7" w:rsidRDefault="005720C5" w:rsidP="005720C5">
      <w:pPr>
        <w:pStyle w:val="SingleTxtG"/>
      </w:pPr>
      <w:r>
        <w:t>29.</w:t>
      </w:r>
      <w:r>
        <w:tab/>
      </w:r>
      <w:r w:rsidR="00C414E3">
        <w:t>El Comité lamenta la falta de información estadística desglosada sobre las denuncias</w:t>
      </w:r>
      <w:r w:rsidR="0004404C">
        <w:t xml:space="preserve"> por discriminación racial y las correspondientes actuaciones. </w:t>
      </w:r>
      <w:r w:rsidR="001A41A7">
        <w:t xml:space="preserve">Si bien el Comité toma nota de los esfuerzos que </w:t>
      </w:r>
      <w:r w:rsidR="00DA4E9B">
        <w:t xml:space="preserve">el Estado parte </w:t>
      </w:r>
      <w:r w:rsidR="001A41A7">
        <w:t>está realizando para asegurar el acceso a la justicia para los pueblos indígenas</w:t>
      </w:r>
      <w:r w:rsidR="00C03A1D">
        <w:t xml:space="preserve">, </w:t>
      </w:r>
      <w:r w:rsidR="00DA4E9B">
        <w:t>el Comité lamenta</w:t>
      </w:r>
      <w:r w:rsidR="00964CE6">
        <w:t xml:space="preserve"> las dificultades </w:t>
      </w:r>
      <w:r w:rsidR="00964CE6" w:rsidRPr="00C03A1D">
        <w:t xml:space="preserve">que éstos encuentran para </w:t>
      </w:r>
      <w:r w:rsidR="009F5358">
        <w:t>disfrutar</w:t>
      </w:r>
      <w:r w:rsidR="00964CE6" w:rsidRPr="00C03A1D">
        <w:t xml:space="preserve"> de </w:t>
      </w:r>
      <w:r w:rsidR="00C66B34">
        <w:t>dicho derecho</w:t>
      </w:r>
      <w:r w:rsidR="00964CE6" w:rsidRPr="00C03A1D">
        <w:t>, entre otras razones</w:t>
      </w:r>
      <w:r w:rsidR="00AF4FB3">
        <w:t>,</w:t>
      </w:r>
      <w:r w:rsidR="00964CE6" w:rsidRPr="00C03A1D">
        <w:t xml:space="preserve"> por</w:t>
      </w:r>
      <w:r w:rsidR="00DA4E9B" w:rsidRPr="00C03A1D">
        <w:t xml:space="preserve">: a) </w:t>
      </w:r>
      <w:r w:rsidR="005F7AEB">
        <w:t xml:space="preserve">un </w:t>
      </w:r>
      <w:r w:rsidR="00DA4E9B" w:rsidRPr="00C03A1D">
        <w:t xml:space="preserve">conocimiento </w:t>
      </w:r>
      <w:r w:rsidR="005F7AEB">
        <w:t xml:space="preserve">insuficiente </w:t>
      </w:r>
      <w:r w:rsidR="00DA4E9B" w:rsidRPr="00C03A1D">
        <w:t>por parte de las autoridades judiciales</w:t>
      </w:r>
      <w:r w:rsidR="00C66B34">
        <w:t>, defensores públicos y abogados</w:t>
      </w:r>
      <w:r w:rsidR="00DA4E9B" w:rsidRPr="00C03A1D">
        <w:t xml:space="preserve"> del derecho consuetudinario indígen</w:t>
      </w:r>
      <w:r w:rsidR="00C66B34">
        <w:t>a</w:t>
      </w:r>
      <w:r w:rsidR="00DA4E9B" w:rsidRPr="00C03A1D">
        <w:t xml:space="preserve">; b) </w:t>
      </w:r>
      <w:r w:rsidR="002F0F27" w:rsidRPr="00C03A1D">
        <w:t xml:space="preserve">la falta de intérpretes y traductores de las </w:t>
      </w:r>
      <w:r w:rsidR="002F0F27" w:rsidRPr="00C66B34">
        <w:t xml:space="preserve">lenguas de las comunidades indígenas; </w:t>
      </w:r>
      <w:r w:rsidR="00C03A1D" w:rsidRPr="00C66B34">
        <w:t xml:space="preserve">y </w:t>
      </w:r>
      <w:r w:rsidR="00406667">
        <w:t>c</w:t>
      </w:r>
      <w:r w:rsidR="002F0F27" w:rsidRPr="00C66B34">
        <w:t xml:space="preserve">) la ausencia de </w:t>
      </w:r>
      <w:r w:rsidR="00C66B34" w:rsidRPr="00C66B34">
        <w:t xml:space="preserve">asistencia jurídica y centros de </w:t>
      </w:r>
      <w:r w:rsidR="00C03A1D" w:rsidRPr="00C66B34">
        <w:t xml:space="preserve">justicia en los lugares más remotos </w:t>
      </w:r>
      <w:r w:rsidR="00C66B34">
        <w:t xml:space="preserve">y vulnerables </w:t>
      </w:r>
      <w:r w:rsidR="00C03A1D" w:rsidRPr="00C66B34">
        <w:t>del país</w:t>
      </w:r>
      <w:r w:rsidR="00941D11">
        <w:t>. Preocupa también al Comité la falta de un trato equitativo en el acceso a la justicia cuando se trata de población afrodescendiente</w:t>
      </w:r>
      <w:r w:rsidR="002F0F27" w:rsidRPr="00C66B34">
        <w:t xml:space="preserve"> </w:t>
      </w:r>
      <w:r w:rsidR="002E562C" w:rsidRPr="00C66B34">
        <w:t>(art. </w:t>
      </w:r>
      <w:r w:rsidR="001A41A7" w:rsidRPr="00C66B34">
        <w:t>6).</w:t>
      </w:r>
      <w:r w:rsidR="001A41A7">
        <w:t xml:space="preserve"> </w:t>
      </w:r>
    </w:p>
    <w:p w14:paraId="1509697F" w14:textId="111E68FF" w:rsidR="001A41A7" w:rsidRPr="00964CE6" w:rsidRDefault="005720C5" w:rsidP="005720C5">
      <w:pPr>
        <w:pStyle w:val="SingleTxtG"/>
        <w:rPr>
          <w:b/>
        </w:rPr>
      </w:pPr>
      <w:r w:rsidRPr="00964CE6">
        <w:t>30.</w:t>
      </w:r>
      <w:r w:rsidRPr="00964CE6">
        <w:tab/>
      </w:r>
      <w:r w:rsidR="001A41A7" w:rsidRPr="00964CE6">
        <w:rPr>
          <w:b/>
        </w:rPr>
        <w:t>El</w:t>
      </w:r>
      <w:r w:rsidR="001A41A7" w:rsidRPr="0015611C">
        <w:rPr>
          <w:b/>
        </w:rPr>
        <w:t xml:space="preserve"> Comité</w:t>
      </w:r>
      <w:r w:rsidR="001A41A7" w:rsidRPr="00964CE6">
        <w:rPr>
          <w:b/>
        </w:rPr>
        <w:t xml:space="preserve">, a la luz de su </w:t>
      </w:r>
      <w:r w:rsidR="00CD7E78" w:rsidRPr="00964CE6">
        <w:rPr>
          <w:b/>
        </w:rPr>
        <w:t>r</w:t>
      </w:r>
      <w:r w:rsidR="001A41A7" w:rsidRPr="00964CE6">
        <w:rPr>
          <w:b/>
        </w:rPr>
        <w:t>ec</w:t>
      </w:r>
      <w:r w:rsidR="00A35E67" w:rsidRPr="00964CE6">
        <w:rPr>
          <w:b/>
        </w:rPr>
        <w:t xml:space="preserve">omendación general </w:t>
      </w:r>
      <w:r w:rsidR="00CD7E78" w:rsidRPr="00964CE6">
        <w:rPr>
          <w:b/>
        </w:rPr>
        <w:t xml:space="preserve">núm. </w:t>
      </w:r>
      <w:r w:rsidR="00A35E67" w:rsidRPr="00964CE6">
        <w:rPr>
          <w:b/>
        </w:rPr>
        <w:t>31 (2005)</w:t>
      </w:r>
      <w:r w:rsidR="001A41A7" w:rsidRPr="00964CE6">
        <w:rPr>
          <w:b/>
        </w:rPr>
        <w:t xml:space="preserve"> sobre la prevención de la discriminación racial en la </w:t>
      </w:r>
      <w:r w:rsidR="001A41A7" w:rsidRPr="00964CE6">
        <w:rPr>
          <w:b/>
          <w:bCs/>
          <w:color w:val="000000"/>
          <w:lang w:eastAsia="en-GB"/>
        </w:rPr>
        <w:t>administración</w:t>
      </w:r>
      <w:r w:rsidR="001A41A7" w:rsidRPr="00964CE6">
        <w:rPr>
          <w:b/>
        </w:rPr>
        <w:t xml:space="preserve"> y el funcionamiento de la justicia penal, insta al Estado parte a: </w:t>
      </w:r>
    </w:p>
    <w:p w14:paraId="1E2AB235" w14:textId="4AD1AFC1" w:rsidR="005E33FE" w:rsidRPr="00FF3FB7" w:rsidRDefault="00E12CF8" w:rsidP="005720C5">
      <w:pPr>
        <w:pStyle w:val="SingleTxtG"/>
        <w:ind w:firstLine="567"/>
        <w:rPr>
          <w:b/>
        </w:rPr>
      </w:pPr>
      <w:r w:rsidRPr="005720C5">
        <w:rPr>
          <w:bCs/>
        </w:rPr>
        <w:t>a)</w:t>
      </w:r>
      <w:r>
        <w:rPr>
          <w:b/>
        </w:rPr>
        <w:tab/>
      </w:r>
      <w:r w:rsidR="001A41A7" w:rsidRPr="00FF3FB7">
        <w:rPr>
          <w:b/>
        </w:rPr>
        <w:t>Incrementar sus esfuerzos para el reconocimiento y respeto de los sistemas tradicionales de justicia de los pueblos indígenas de conformidad con la normativa internacional de derechos humanos;</w:t>
      </w:r>
    </w:p>
    <w:p w14:paraId="7B04E54E" w14:textId="35CC0CBF" w:rsidR="001A41A7" w:rsidRPr="00FF3FB7" w:rsidRDefault="00E12CF8" w:rsidP="005720C5">
      <w:pPr>
        <w:pStyle w:val="SingleTxtG"/>
        <w:ind w:firstLine="567"/>
        <w:rPr>
          <w:b/>
        </w:rPr>
      </w:pPr>
      <w:r w:rsidRPr="005720C5">
        <w:rPr>
          <w:bCs/>
        </w:rPr>
        <w:t>b)</w:t>
      </w:r>
      <w:r>
        <w:rPr>
          <w:b/>
        </w:rPr>
        <w:tab/>
      </w:r>
      <w:r w:rsidR="001A41A7" w:rsidRPr="00FF3FB7">
        <w:rPr>
          <w:b/>
        </w:rPr>
        <w:t>Adoptar las medidas necesarias para garantizar el acceso a la justicia por parte de los pueblos indígenas, asegurando el respeto de sus derechos fundamentales y de las garantías al debido proceso</w:t>
      </w:r>
      <w:r w:rsidR="00C03A1D" w:rsidRPr="00FF3FB7">
        <w:rPr>
          <w:b/>
        </w:rPr>
        <w:t>, incluyendo entre otros</w:t>
      </w:r>
      <w:r w:rsidR="008E6788">
        <w:rPr>
          <w:b/>
        </w:rPr>
        <w:t>,</w:t>
      </w:r>
      <w:r w:rsidR="00C03A1D" w:rsidRPr="00FF3FB7">
        <w:rPr>
          <w:b/>
        </w:rPr>
        <w:t xml:space="preserve"> el aumento del número de intérpretes y especialistas en los sistemas tradicionales de justicia de los pueb</w:t>
      </w:r>
      <w:r w:rsidR="00231EE0" w:rsidRPr="00FF3FB7">
        <w:rPr>
          <w:b/>
        </w:rPr>
        <w:t>los indígenas;</w:t>
      </w:r>
      <w:r w:rsidR="00C03A1D" w:rsidRPr="00FF3FB7">
        <w:rPr>
          <w:b/>
        </w:rPr>
        <w:t xml:space="preserve"> continuar con la expansión de </w:t>
      </w:r>
      <w:r w:rsidR="00C66B34" w:rsidRPr="00FF3FB7">
        <w:rPr>
          <w:b/>
        </w:rPr>
        <w:t xml:space="preserve">la asistencia jurídica y centros de justica </w:t>
      </w:r>
      <w:r w:rsidR="00C03A1D" w:rsidRPr="00FF3FB7">
        <w:rPr>
          <w:b/>
        </w:rPr>
        <w:t xml:space="preserve">en los lugares más remotos </w:t>
      </w:r>
      <w:r w:rsidR="00C66B34" w:rsidRPr="00FF3FB7">
        <w:rPr>
          <w:b/>
        </w:rPr>
        <w:t xml:space="preserve">y vulnerables </w:t>
      </w:r>
      <w:r w:rsidR="00C03A1D" w:rsidRPr="00FF3FB7">
        <w:rPr>
          <w:b/>
        </w:rPr>
        <w:t>del país</w:t>
      </w:r>
      <w:r w:rsidR="008E6788">
        <w:rPr>
          <w:b/>
        </w:rPr>
        <w:t>,</w:t>
      </w:r>
      <w:r w:rsidR="00231EE0" w:rsidRPr="00FF3FB7">
        <w:rPr>
          <w:b/>
        </w:rPr>
        <w:t xml:space="preserve"> e incrementar las oportunidades de asistencia jurídica gratuita</w:t>
      </w:r>
      <w:r w:rsidR="001A41A7" w:rsidRPr="00FF3FB7">
        <w:rPr>
          <w:b/>
        </w:rPr>
        <w:t>;</w:t>
      </w:r>
    </w:p>
    <w:p w14:paraId="05DDDCBF" w14:textId="4CD2BEE5" w:rsidR="001A41A7" w:rsidRPr="00746E85" w:rsidRDefault="00E12CF8" w:rsidP="005720C5">
      <w:pPr>
        <w:pStyle w:val="SingleTxtG"/>
        <w:ind w:firstLine="567"/>
      </w:pPr>
      <w:r w:rsidRPr="005720C5">
        <w:rPr>
          <w:bCs/>
        </w:rPr>
        <w:t>c)</w:t>
      </w:r>
      <w:r>
        <w:rPr>
          <w:b/>
        </w:rPr>
        <w:tab/>
      </w:r>
      <w:r w:rsidR="00C66B34" w:rsidRPr="00FF3FB7">
        <w:rPr>
          <w:b/>
        </w:rPr>
        <w:t xml:space="preserve">Promover la </w:t>
      </w:r>
      <w:r w:rsidR="001A41A7" w:rsidRPr="00FF3FB7">
        <w:rPr>
          <w:b/>
        </w:rPr>
        <w:t xml:space="preserve">formación de agentes de policía, </w:t>
      </w:r>
      <w:r w:rsidR="00406667" w:rsidRPr="00FF3FB7">
        <w:rPr>
          <w:b/>
        </w:rPr>
        <w:t>defensores públicos</w:t>
      </w:r>
      <w:r w:rsidR="001A41A7" w:rsidRPr="00FF3FB7">
        <w:rPr>
          <w:b/>
        </w:rPr>
        <w:t xml:space="preserve">, abogados, jueces y profesionales del sistema judicial sobre </w:t>
      </w:r>
      <w:r w:rsidR="006D649E">
        <w:rPr>
          <w:b/>
        </w:rPr>
        <w:t xml:space="preserve">el derecho consuetudinario indígena y </w:t>
      </w:r>
      <w:r w:rsidR="001A41A7" w:rsidRPr="00FF3FB7">
        <w:rPr>
          <w:b/>
        </w:rPr>
        <w:t>los dere</w:t>
      </w:r>
      <w:r w:rsidR="00406667" w:rsidRPr="00FF3FB7">
        <w:rPr>
          <w:b/>
        </w:rPr>
        <w:t xml:space="preserve">chos de los </w:t>
      </w:r>
      <w:r w:rsidR="006D649E">
        <w:rPr>
          <w:b/>
        </w:rPr>
        <w:t xml:space="preserve">afrodescendientes </w:t>
      </w:r>
      <w:r w:rsidR="005526FF" w:rsidRPr="00FF3FB7">
        <w:rPr>
          <w:b/>
        </w:rPr>
        <w:t xml:space="preserve">y migrantes, y </w:t>
      </w:r>
      <w:r w:rsidR="00C66B34" w:rsidRPr="00FF3FB7">
        <w:rPr>
          <w:b/>
        </w:rPr>
        <w:t xml:space="preserve">la </w:t>
      </w:r>
      <w:r w:rsidR="005526FF" w:rsidRPr="00FF3FB7">
        <w:rPr>
          <w:b/>
        </w:rPr>
        <w:t xml:space="preserve">lucha contra la </w:t>
      </w:r>
      <w:r w:rsidR="00C66B34" w:rsidRPr="00FF3FB7">
        <w:rPr>
          <w:b/>
        </w:rPr>
        <w:t>discriminación racial</w:t>
      </w:r>
      <w:r w:rsidR="001A41A7" w:rsidRPr="00FF3FB7">
        <w:rPr>
          <w:b/>
        </w:rPr>
        <w:t>.</w:t>
      </w:r>
      <w:r w:rsidR="001A41A7" w:rsidRPr="00746E85">
        <w:t xml:space="preserve"> </w:t>
      </w:r>
    </w:p>
    <w:p w14:paraId="705E7C8D" w14:textId="3CA62A8F" w:rsidR="00924907" w:rsidRDefault="001A41A7" w:rsidP="00A04834">
      <w:pPr>
        <w:pStyle w:val="H23G"/>
        <w:spacing w:before="220"/>
        <w:ind w:left="1138" w:right="1138" w:hanging="1138"/>
        <w:rPr>
          <w:highlight w:val="yellow"/>
        </w:rPr>
      </w:pPr>
      <w:r>
        <w:tab/>
      </w:r>
      <w:r>
        <w:tab/>
      </w:r>
      <w:r w:rsidR="00D10427">
        <w:t>Derechos laborales</w:t>
      </w:r>
    </w:p>
    <w:p w14:paraId="2D88D26F" w14:textId="67F730F7" w:rsidR="00FB2247" w:rsidRPr="00D7128C" w:rsidRDefault="005720C5" w:rsidP="005720C5">
      <w:pPr>
        <w:pStyle w:val="SingleTxtG"/>
      </w:pPr>
      <w:r w:rsidRPr="00D7128C">
        <w:t>31.</w:t>
      </w:r>
      <w:r w:rsidRPr="00D7128C">
        <w:tab/>
      </w:r>
      <w:r w:rsidR="00924907" w:rsidRPr="00D10427">
        <w:t xml:space="preserve">El Comité nota con preocupación las dificultades que encuentran los </w:t>
      </w:r>
      <w:r w:rsidR="00231EE0" w:rsidRPr="00D10427">
        <w:t>miembros de l</w:t>
      </w:r>
      <w:r w:rsidR="00941D11">
        <w:t>o</w:t>
      </w:r>
      <w:r w:rsidR="00231EE0" w:rsidRPr="00D10427">
        <w:t xml:space="preserve">s </w:t>
      </w:r>
      <w:r w:rsidR="00941D11">
        <w:t>pueblos</w:t>
      </w:r>
      <w:r w:rsidR="00941D11" w:rsidRPr="00D10427">
        <w:t xml:space="preserve"> </w:t>
      </w:r>
      <w:r w:rsidR="00231EE0" w:rsidRPr="00D10427">
        <w:t xml:space="preserve">indígenas, </w:t>
      </w:r>
      <w:r w:rsidR="00924907" w:rsidRPr="00D10427">
        <w:t xml:space="preserve">afrodescendientes y migrantes para acceder al </w:t>
      </w:r>
      <w:r w:rsidR="0014279C" w:rsidRPr="00D10427">
        <w:t xml:space="preserve">sector formal del </w:t>
      </w:r>
      <w:r w:rsidR="00924907" w:rsidRPr="00D10427">
        <w:t>mercado de trabajo</w:t>
      </w:r>
      <w:r w:rsidR="008E6788">
        <w:t>,</w:t>
      </w:r>
      <w:r w:rsidR="00D10427" w:rsidRPr="00D10427">
        <w:t xml:space="preserve"> y su </w:t>
      </w:r>
      <w:r w:rsidR="004E65FE" w:rsidRPr="00D7128C">
        <w:t>concentració</w:t>
      </w:r>
      <w:r w:rsidR="0014279C" w:rsidRPr="00D7128C">
        <w:t xml:space="preserve">n en trabajos </w:t>
      </w:r>
      <w:r w:rsidR="00D10427" w:rsidRPr="00D7128C">
        <w:t xml:space="preserve">sin acceso a derechos laborales </w:t>
      </w:r>
      <w:r w:rsidR="004236E6">
        <w:t>fundamentales</w:t>
      </w:r>
      <w:r w:rsidR="004236E6" w:rsidRPr="00D7128C">
        <w:t xml:space="preserve"> </w:t>
      </w:r>
      <w:r w:rsidR="00D10427" w:rsidRPr="00D7128C">
        <w:t>(art.</w:t>
      </w:r>
      <w:r w:rsidR="00FF3FB7">
        <w:t> </w:t>
      </w:r>
      <w:r w:rsidR="00D10427" w:rsidRPr="00D7128C">
        <w:t>5)</w:t>
      </w:r>
      <w:r w:rsidR="00E027C0">
        <w:t>.</w:t>
      </w:r>
    </w:p>
    <w:p w14:paraId="7B69E1F5" w14:textId="78441C1B" w:rsidR="00772D50" w:rsidRPr="00D7128C" w:rsidRDefault="005720C5" w:rsidP="005720C5">
      <w:pPr>
        <w:pStyle w:val="SingleTxtG"/>
        <w:rPr>
          <w:b/>
        </w:rPr>
      </w:pPr>
      <w:r w:rsidRPr="00D7128C">
        <w:t>32.</w:t>
      </w:r>
      <w:r w:rsidRPr="00D7128C">
        <w:tab/>
      </w:r>
      <w:r w:rsidR="00FB2247" w:rsidRPr="00D7128C">
        <w:rPr>
          <w:b/>
        </w:rPr>
        <w:t>El Comité</w:t>
      </w:r>
      <w:r w:rsidR="00D7128C" w:rsidRPr="00D7128C">
        <w:rPr>
          <w:b/>
        </w:rPr>
        <w:t xml:space="preserve"> recomienda al Estado parte que siga haciendo todo lo posible </w:t>
      </w:r>
      <w:r w:rsidR="00594118">
        <w:rPr>
          <w:b/>
        </w:rPr>
        <w:t xml:space="preserve">para generar un mayor acceso al </w:t>
      </w:r>
      <w:r w:rsidR="00D7128C" w:rsidRPr="00D7128C">
        <w:rPr>
          <w:b/>
        </w:rPr>
        <w:t>sector formal de la economía y garantizar condiciones de trabajo equitativas y satisfactorias</w:t>
      </w:r>
      <w:r w:rsidR="005526FF">
        <w:rPr>
          <w:b/>
        </w:rPr>
        <w:t>,</w:t>
      </w:r>
      <w:r w:rsidR="00D7128C" w:rsidRPr="00D7128C">
        <w:rPr>
          <w:b/>
        </w:rPr>
        <w:t xml:space="preserve"> conforme</w:t>
      </w:r>
      <w:r w:rsidR="005526FF">
        <w:rPr>
          <w:b/>
        </w:rPr>
        <w:t>s</w:t>
      </w:r>
      <w:r w:rsidR="00D7128C">
        <w:rPr>
          <w:b/>
        </w:rPr>
        <w:t xml:space="preserve"> a estándares internacionales de derechos humanos</w:t>
      </w:r>
      <w:r w:rsidR="00594118">
        <w:rPr>
          <w:b/>
        </w:rPr>
        <w:t xml:space="preserve"> y </w:t>
      </w:r>
      <w:r w:rsidR="00443C5E">
        <w:rPr>
          <w:b/>
        </w:rPr>
        <w:t>laborales</w:t>
      </w:r>
      <w:r w:rsidR="008E6788">
        <w:rPr>
          <w:b/>
        </w:rPr>
        <w:t>,</w:t>
      </w:r>
      <w:r w:rsidR="00802151">
        <w:rPr>
          <w:b/>
        </w:rPr>
        <w:t xml:space="preserve"> así </w:t>
      </w:r>
      <w:r w:rsidR="008E6788">
        <w:rPr>
          <w:b/>
        </w:rPr>
        <w:t xml:space="preserve">como </w:t>
      </w:r>
      <w:r w:rsidR="00802151">
        <w:rPr>
          <w:b/>
        </w:rPr>
        <w:t>que investigue la explotación y discriminación que se produce</w:t>
      </w:r>
      <w:r w:rsidR="008D79C4">
        <w:rPr>
          <w:b/>
        </w:rPr>
        <w:t>n</w:t>
      </w:r>
      <w:r w:rsidR="00F237CE">
        <w:rPr>
          <w:b/>
        </w:rPr>
        <w:t>,</w:t>
      </w:r>
      <w:r w:rsidR="00802151">
        <w:rPr>
          <w:b/>
        </w:rPr>
        <w:t xml:space="preserve"> y presente al Comité información estadística sobre la</w:t>
      </w:r>
      <w:r w:rsidR="008D79C4">
        <w:rPr>
          <w:b/>
        </w:rPr>
        <w:t>s</w:t>
      </w:r>
      <w:r w:rsidR="00802151">
        <w:rPr>
          <w:b/>
        </w:rPr>
        <w:t xml:space="preserve"> misma</w:t>
      </w:r>
      <w:r w:rsidR="008D79C4">
        <w:rPr>
          <w:b/>
        </w:rPr>
        <w:t>s</w:t>
      </w:r>
      <w:r w:rsidR="00802151">
        <w:rPr>
          <w:b/>
        </w:rPr>
        <w:t xml:space="preserve"> en el próximo informe periódico</w:t>
      </w:r>
      <w:r w:rsidR="00D7128C">
        <w:rPr>
          <w:b/>
        </w:rPr>
        <w:t>.</w:t>
      </w:r>
    </w:p>
    <w:p w14:paraId="75C97E21" w14:textId="1F5C6535" w:rsidR="00B94B75" w:rsidRPr="00F83CF9" w:rsidRDefault="001A41A7" w:rsidP="00A04834">
      <w:pPr>
        <w:pStyle w:val="H23G"/>
        <w:spacing w:before="220"/>
        <w:ind w:left="1138" w:right="1138" w:hanging="1138"/>
      </w:pPr>
      <w:r>
        <w:tab/>
      </w:r>
      <w:r>
        <w:tab/>
      </w:r>
      <w:r w:rsidR="005526FF">
        <w:t>Migrantes</w:t>
      </w:r>
    </w:p>
    <w:p w14:paraId="30F41328" w14:textId="17321B0A" w:rsidR="002C4357" w:rsidRDefault="005720C5" w:rsidP="005720C5">
      <w:pPr>
        <w:pStyle w:val="SingleTxtG"/>
      </w:pPr>
      <w:r>
        <w:t>33.</w:t>
      </w:r>
      <w:r>
        <w:tab/>
      </w:r>
      <w:r w:rsidR="00A41366">
        <w:t xml:space="preserve">El Comité toma nota de la </w:t>
      </w:r>
      <w:r w:rsidR="008B2A3E">
        <w:t xml:space="preserve">avanzada </w:t>
      </w:r>
      <w:r w:rsidR="00A41366">
        <w:t>legislación argentina en materia de migración y da la bienvenida a los programas de regularización realizados</w:t>
      </w:r>
      <w:r w:rsidR="00B94B75" w:rsidRPr="00F83CF9">
        <w:t>.</w:t>
      </w:r>
      <w:r w:rsidR="00A41366">
        <w:t xml:space="preserve"> Sin embargo</w:t>
      </w:r>
      <w:r w:rsidR="005526FF">
        <w:t>,</w:t>
      </w:r>
      <w:r w:rsidR="00A41366">
        <w:t xml:space="preserve"> </w:t>
      </w:r>
      <w:r w:rsidR="00406667">
        <w:t xml:space="preserve">el Comité </w:t>
      </w:r>
      <w:r w:rsidR="00A41366">
        <w:t>está preocupado por</w:t>
      </w:r>
      <w:r w:rsidR="00406667">
        <w:t>: a)</w:t>
      </w:r>
      <w:r w:rsidR="00A41366">
        <w:t xml:space="preserve"> la </w:t>
      </w:r>
      <w:r w:rsidR="005526FF">
        <w:t>discriminación de lo</w:t>
      </w:r>
      <w:r w:rsidR="00A41366">
        <w:t xml:space="preserve">s migrantes, </w:t>
      </w:r>
      <w:r w:rsidR="00406667">
        <w:t xml:space="preserve">en particular </w:t>
      </w:r>
      <w:r w:rsidR="007B29B9">
        <w:t xml:space="preserve">de </w:t>
      </w:r>
      <w:r w:rsidR="008E1176">
        <w:t>la</w:t>
      </w:r>
      <w:r w:rsidR="007B29B9">
        <w:t>s</w:t>
      </w:r>
      <w:r w:rsidR="008E1176">
        <w:t xml:space="preserve"> comunidad</w:t>
      </w:r>
      <w:r w:rsidR="007B29B9">
        <w:t>es</w:t>
      </w:r>
      <w:r w:rsidR="008E1176">
        <w:t xml:space="preserve"> senegalesa</w:t>
      </w:r>
      <w:r w:rsidR="007B29B9">
        <w:t>s y dominicanas, en particular las mujeres</w:t>
      </w:r>
      <w:r w:rsidR="008E1176">
        <w:t xml:space="preserve"> y las personas</w:t>
      </w:r>
      <w:r w:rsidR="00A41366">
        <w:t xml:space="preserve"> en situación irregular</w:t>
      </w:r>
      <w:r w:rsidR="00406667">
        <w:t xml:space="preserve">; b) </w:t>
      </w:r>
      <w:r w:rsidR="008E1176">
        <w:t xml:space="preserve">el </w:t>
      </w:r>
      <w:r w:rsidR="008B2A3E">
        <w:t xml:space="preserve">aumento de las </w:t>
      </w:r>
      <w:r w:rsidR="0070729C">
        <w:t>órdenes</w:t>
      </w:r>
      <w:r w:rsidR="00406667">
        <w:t xml:space="preserve"> de expulsión; c)</w:t>
      </w:r>
      <w:r w:rsidR="008B2A3E">
        <w:t xml:space="preserve"> el recorte de las políticas de regula</w:t>
      </w:r>
      <w:r w:rsidR="00406667">
        <w:t xml:space="preserve">rización y los requisitos adicionales para la regularización de los migrantes provenientes de países </w:t>
      </w:r>
      <w:r w:rsidR="005526FF">
        <w:t xml:space="preserve">de </w:t>
      </w:r>
      <w:r w:rsidR="008B2A3E">
        <w:t>fuera del Mercosur</w:t>
      </w:r>
      <w:r w:rsidR="00406667">
        <w:t>;</w:t>
      </w:r>
      <w:r w:rsidR="00D60210">
        <w:t xml:space="preserve"> y </w:t>
      </w:r>
      <w:r w:rsidR="00406667">
        <w:t xml:space="preserve">d) </w:t>
      </w:r>
      <w:r w:rsidR="00D60210">
        <w:t xml:space="preserve">por la vigencia de normas </w:t>
      </w:r>
      <w:r w:rsidR="00D60210" w:rsidRPr="00D60210">
        <w:t xml:space="preserve">de distinción en el acceso a derechos </w:t>
      </w:r>
      <w:r w:rsidR="00D60210" w:rsidRPr="00694D34">
        <w:t>básicos</w:t>
      </w:r>
      <w:r w:rsidR="005A4012" w:rsidRPr="00694D34">
        <w:t>. El Comité también está preocupado por l</w:t>
      </w:r>
      <w:r w:rsidR="007B29B9" w:rsidRPr="00694D34">
        <w:t>os planes de</w:t>
      </w:r>
      <w:r w:rsidR="005A4012" w:rsidRPr="00694D34">
        <w:t xml:space="preserve"> crea</w:t>
      </w:r>
      <w:r w:rsidR="007B29B9" w:rsidRPr="00694D34">
        <w:t>r</w:t>
      </w:r>
      <w:r w:rsidR="005A4012" w:rsidRPr="00694D34">
        <w:t xml:space="preserve"> un centro de </w:t>
      </w:r>
      <w:r w:rsidR="00DA07D5" w:rsidRPr="00694D34">
        <w:t>d</w:t>
      </w:r>
      <w:r w:rsidR="008503DC" w:rsidRPr="00694D34">
        <w:t>etención</w:t>
      </w:r>
      <w:r w:rsidR="005A4012" w:rsidRPr="00694D34">
        <w:t xml:space="preserve"> para migrantes </w:t>
      </w:r>
      <w:r w:rsidR="008503DC" w:rsidRPr="00694D34">
        <w:t>a la espera de ser</w:t>
      </w:r>
      <w:r w:rsidR="005A4012" w:rsidRPr="00694D34">
        <w:t xml:space="preserve"> deportados</w:t>
      </w:r>
      <w:r w:rsidR="004F2EC5" w:rsidRPr="00694D34">
        <w:t xml:space="preserve">, </w:t>
      </w:r>
      <w:r w:rsidR="006D0843" w:rsidRPr="00694D34">
        <w:t xml:space="preserve">porque podría dar lugar a que la </w:t>
      </w:r>
      <w:r w:rsidR="004F2EC5" w:rsidRPr="00694D34">
        <w:t>detención</w:t>
      </w:r>
      <w:r w:rsidR="006D0843" w:rsidRPr="00694D34">
        <w:t xml:space="preserve"> no sea usada</w:t>
      </w:r>
      <w:r w:rsidR="004F2EC5" w:rsidRPr="00694D34">
        <w:t xml:space="preserve"> como </w:t>
      </w:r>
      <w:r w:rsidR="00694D34" w:rsidRPr="00694D34">
        <w:t>última</w:t>
      </w:r>
      <w:r w:rsidR="004F2EC5" w:rsidRPr="00694D34">
        <w:t xml:space="preserve"> opción</w:t>
      </w:r>
      <w:r w:rsidR="005A4012" w:rsidRPr="00694D34">
        <w:t>. Finalmente</w:t>
      </w:r>
      <w:r w:rsidR="001E2446">
        <w:t>,</w:t>
      </w:r>
      <w:r w:rsidR="005A4012" w:rsidRPr="00694D34">
        <w:t xml:space="preserve"> el Comité lamenta la falta de datos estadísticos sobre la ret</w:t>
      </w:r>
      <w:r w:rsidR="00D7128C" w:rsidRPr="00694D34">
        <w:t>ención de personas extranjeras</w:t>
      </w:r>
      <w:r w:rsidR="00D7128C">
        <w:t xml:space="preserve"> </w:t>
      </w:r>
      <w:r w:rsidR="008503DC">
        <w:t>y la falta de un</w:t>
      </w:r>
      <w:r w:rsidR="00406667" w:rsidRPr="00D60210">
        <w:t xml:space="preserve"> </w:t>
      </w:r>
      <w:r w:rsidR="008503DC">
        <w:t>di</w:t>
      </w:r>
      <w:r w:rsidR="00F237CE">
        <w:t>á</w:t>
      </w:r>
      <w:r w:rsidR="008503DC">
        <w:t>logo</w:t>
      </w:r>
      <w:r w:rsidR="00406667" w:rsidRPr="00D60210">
        <w:t xml:space="preserve"> </w:t>
      </w:r>
      <w:r w:rsidR="008503DC">
        <w:t>fluido</w:t>
      </w:r>
      <w:r w:rsidR="00406667" w:rsidRPr="00D60210">
        <w:t xml:space="preserve"> y regular con las asociaciones de migrantes</w:t>
      </w:r>
      <w:r w:rsidR="00941D11">
        <w:t xml:space="preserve"> (arts. 1, 2 y 5)</w:t>
      </w:r>
      <w:r w:rsidR="00406667" w:rsidRPr="00D60210">
        <w:t>.</w:t>
      </w:r>
    </w:p>
    <w:p w14:paraId="20DAB9BA" w14:textId="1E96B889" w:rsidR="002C4357" w:rsidRDefault="005720C5" w:rsidP="005720C5">
      <w:pPr>
        <w:pStyle w:val="SingleTxtG"/>
        <w:rPr>
          <w:b/>
          <w:bCs/>
        </w:rPr>
      </w:pPr>
      <w:r>
        <w:rPr>
          <w:bCs/>
        </w:rPr>
        <w:t>34.</w:t>
      </w:r>
      <w:r>
        <w:rPr>
          <w:bCs/>
        </w:rPr>
        <w:tab/>
      </w:r>
      <w:r w:rsidR="002C4357" w:rsidRPr="00B94B75">
        <w:rPr>
          <w:b/>
          <w:bCs/>
        </w:rPr>
        <w:t xml:space="preserve">Teniendo en </w:t>
      </w:r>
      <w:r w:rsidR="002C4357" w:rsidRPr="001A41A7">
        <w:rPr>
          <w:b/>
        </w:rPr>
        <w:t>cuenta</w:t>
      </w:r>
      <w:r w:rsidR="002C4357" w:rsidRPr="00B94B75">
        <w:rPr>
          <w:b/>
          <w:bCs/>
        </w:rPr>
        <w:t xml:space="preserve"> la </w:t>
      </w:r>
      <w:r w:rsidR="002C4357">
        <w:rPr>
          <w:b/>
          <w:bCs/>
        </w:rPr>
        <w:t>r</w:t>
      </w:r>
      <w:r w:rsidR="002C4357" w:rsidRPr="00B94B75">
        <w:rPr>
          <w:b/>
          <w:bCs/>
        </w:rPr>
        <w:t xml:space="preserve">ecomendación general </w:t>
      </w:r>
      <w:r w:rsidR="002C4357">
        <w:rPr>
          <w:b/>
          <w:bCs/>
        </w:rPr>
        <w:t xml:space="preserve">núm. </w:t>
      </w:r>
      <w:r w:rsidR="002C4357" w:rsidRPr="00B94B75">
        <w:rPr>
          <w:b/>
          <w:bCs/>
        </w:rPr>
        <w:t>30 (2004)</w:t>
      </w:r>
      <w:r w:rsidR="00F237CE">
        <w:rPr>
          <w:b/>
          <w:bCs/>
        </w:rPr>
        <w:t xml:space="preserve"> sobre la discriminación contra los no ciudadanos</w:t>
      </w:r>
      <w:r w:rsidR="002C4357" w:rsidRPr="00B94B75">
        <w:rPr>
          <w:b/>
          <w:bCs/>
        </w:rPr>
        <w:t>, el Comité recomienda al Estado parte que tome las medidas n</w:t>
      </w:r>
      <w:r w:rsidR="002C4357">
        <w:rPr>
          <w:b/>
          <w:bCs/>
        </w:rPr>
        <w:t>ecesarias para la protección de los migrantes</w:t>
      </w:r>
      <w:r w:rsidR="008503DC">
        <w:rPr>
          <w:b/>
          <w:bCs/>
        </w:rPr>
        <w:t>, incluyendo:</w:t>
      </w:r>
    </w:p>
    <w:p w14:paraId="16BFE760" w14:textId="0F4550B3" w:rsidR="00F526D6" w:rsidRPr="00105068" w:rsidRDefault="00E12CF8" w:rsidP="005720C5">
      <w:pPr>
        <w:pStyle w:val="SingleTxtG"/>
        <w:ind w:firstLine="567"/>
        <w:rPr>
          <w:b/>
        </w:rPr>
      </w:pPr>
      <w:r w:rsidRPr="005720C5">
        <w:rPr>
          <w:bCs/>
        </w:rPr>
        <w:t>a)</w:t>
      </w:r>
      <w:r>
        <w:rPr>
          <w:b/>
        </w:rPr>
        <w:tab/>
      </w:r>
      <w:r w:rsidR="00F526D6" w:rsidRPr="00105068">
        <w:rPr>
          <w:b/>
        </w:rPr>
        <w:t>Implementar medidas que promuevan la plena participación e integración de los migrantes en el Estado parte</w:t>
      </w:r>
      <w:r w:rsidR="00D501E8" w:rsidRPr="00105068">
        <w:rPr>
          <w:b/>
        </w:rPr>
        <w:t xml:space="preserve"> y el respeto de sus derechos</w:t>
      </w:r>
      <w:r w:rsidR="00F237CE">
        <w:rPr>
          <w:b/>
        </w:rPr>
        <w:t>,</w:t>
      </w:r>
      <w:r w:rsidR="00D501E8" w:rsidRPr="00105068">
        <w:rPr>
          <w:b/>
        </w:rPr>
        <w:t xml:space="preserve"> así como velar por la no introducción de prácticas y normas que representen un retroceso frente al marco normativo vigente</w:t>
      </w:r>
      <w:r w:rsidR="00F526D6" w:rsidRPr="00105068">
        <w:rPr>
          <w:b/>
        </w:rPr>
        <w:t>;</w:t>
      </w:r>
    </w:p>
    <w:p w14:paraId="42977D6B" w14:textId="7135A350" w:rsidR="00364A35" w:rsidRPr="007B29B9" w:rsidRDefault="00E12CF8" w:rsidP="005720C5">
      <w:pPr>
        <w:pStyle w:val="SingleTxtG"/>
        <w:ind w:firstLine="567"/>
      </w:pPr>
      <w:r w:rsidRPr="005720C5">
        <w:rPr>
          <w:bCs/>
        </w:rPr>
        <w:t>b)</w:t>
      </w:r>
      <w:r>
        <w:rPr>
          <w:b/>
        </w:rPr>
        <w:tab/>
      </w:r>
      <w:r w:rsidR="00F526D6" w:rsidRPr="00105068">
        <w:rPr>
          <w:b/>
        </w:rPr>
        <w:t>Considerar medidas alternativas a la privación de libertad de migrantes en situación irregular y recurrir a la detención solo como última opción, y garantizar que ésta sea razonable, necesaria, proporcionada y por el mínimo</w:t>
      </w:r>
      <w:r w:rsidR="005526FF" w:rsidRPr="00105068">
        <w:rPr>
          <w:b/>
        </w:rPr>
        <w:t xml:space="preserve"> perí</w:t>
      </w:r>
      <w:r w:rsidR="00F526D6" w:rsidRPr="00105068">
        <w:rPr>
          <w:b/>
        </w:rPr>
        <w:t>odo de tiempo</w:t>
      </w:r>
      <w:r w:rsidR="00F237CE">
        <w:rPr>
          <w:b/>
        </w:rPr>
        <w:t xml:space="preserve"> posible</w:t>
      </w:r>
      <w:r w:rsidR="00D501E8" w:rsidRPr="00105068">
        <w:rPr>
          <w:b/>
        </w:rPr>
        <w:t>.</w:t>
      </w:r>
    </w:p>
    <w:p w14:paraId="44AA40B1" w14:textId="3A1CD8FD" w:rsidR="007B29B9" w:rsidRPr="00E1495E" w:rsidRDefault="007B29B9" w:rsidP="007B29B9">
      <w:pPr>
        <w:pStyle w:val="H23G"/>
        <w:spacing w:before="220"/>
        <w:ind w:right="1138"/>
      </w:pPr>
      <w:r>
        <w:tab/>
      </w:r>
      <w:r>
        <w:tab/>
      </w:r>
      <w:r w:rsidRPr="00E362BD">
        <w:t>Múltiples formas de discriminación</w:t>
      </w:r>
      <w:r w:rsidRPr="00E1495E">
        <w:t xml:space="preserve"> </w:t>
      </w:r>
    </w:p>
    <w:p w14:paraId="52809340" w14:textId="46A7633B" w:rsidR="007B29B9" w:rsidRPr="00594118" w:rsidRDefault="005720C5" w:rsidP="005720C5">
      <w:pPr>
        <w:pStyle w:val="SingleTxtG"/>
      </w:pPr>
      <w:r w:rsidRPr="00594118">
        <w:t>35.</w:t>
      </w:r>
      <w:r w:rsidRPr="00594118">
        <w:tab/>
      </w:r>
      <w:r w:rsidR="007B29B9" w:rsidRPr="00C00332">
        <w:t xml:space="preserve">Al Comité le preocupa que las mujeres pertenecientes a pueblos </w:t>
      </w:r>
      <w:r w:rsidR="007B29B9" w:rsidRPr="00C00332">
        <w:rPr>
          <w:lang w:val="es-ES_tradnl"/>
        </w:rPr>
        <w:t>indígenas</w:t>
      </w:r>
      <w:r w:rsidR="007B29B9" w:rsidRPr="00C00332">
        <w:t xml:space="preserve">, </w:t>
      </w:r>
      <w:r w:rsidR="007B29B9" w:rsidRPr="00C00332">
        <w:rPr>
          <w:lang w:val="es-ES_tradnl"/>
        </w:rPr>
        <w:t>afrodescendientes</w:t>
      </w:r>
      <w:r w:rsidR="007B29B9" w:rsidRPr="00C00332">
        <w:t xml:space="preserve"> y migrantes</w:t>
      </w:r>
      <w:r w:rsidR="0021144E" w:rsidRPr="00C00332">
        <w:t>, incluidas las mu</w:t>
      </w:r>
      <w:r w:rsidR="00802151" w:rsidRPr="00C00332">
        <w:t>j</w:t>
      </w:r>
      <w:r w:rsidR="0021144E" w:rsidRPr="00C00332">
        <w:t xml:space="preserve">eres pertenecientes a la República </w:t>
      </w:r>
      <w:r w:rsidR="0021144E" w:rsidRPr="00594118">
        <w:t>Dominicana</w:t>
      </w:r>
      <w:r w:rsidR="008D79C4">
        <w:t>,</w:t>
      </w:r>
      <w:r w:rsidR="00302A9B">
        <w:t xml:space="preserve"> </w:t>
      </w:r>
      <w:r w:rsidR="008D79C4">
        <w:t xml:space="preserve">personas </w:t>
      </w:r>
      <w:r w:rsidR="008D79C4" w:rsidRPr="005720C5">
        <w:rPr>
          <w:bCs/>
        </w:rPr>
        <w:t xml:space="preserve">lesbianas, gais, bisexuales, </w:t>
      </w:r>
      <w:proofErr w:type="spellStart"/>
      <w:r w:rsidR="008D79C4" w:rsidRPr="005720C5">
        <w:rPr>
          <w:bCs/>
        </w:rPr>
        <w:t>transgénero</w:t>
      </w:r>
      <w:proofErr w:type="spellEnd"/>
      <w:r w:rsidR="008D79C4" w:rsidRPr="005720C5">
        <w:rPr>
          <w:bCs/>
        </w:rPr>
        <w:t xml:space="preserve"> e intersexuales</w:t>
      </w:r>
      <w:r w:rsidR="00302A9B">
        <w:t>,</w:t>
      </w:r>
      <w:r w:rsidR="007B29B9" w:rsidRPr="00594118">
        <w:t xml:space="preserve"> y otras minorías </w:t>
      </w:r>
      <w:r w:rsidR="007B29B9" w:rsidRPr="00594118">
        <w:rPr>
          <w:color w:val="000000"/>
          <w:lang w:eastAsia="en-GB"/>
        </w:rPr>
        <w:t>continúan</w:t>
      </w:r>
      <w:r w:rsidR="007B29B9" w:rsidRPr="00594118">
        <w:t xml:space="preserve"> enfrentándose a múltiples formas de discriminación en todas las áreas de la vida social, política, económica y cultural (art. 2, </w:t>
      </w:r>
      <w:r w:rsidR="007B29B9" w:rsidRPr="00594118">
        <w:rPr>
          <w:bCs/>
        </w:rPr>
        <w:t>párr. </w:t>
      </w:r>
      <w:r w:rsidR="007B29B9" w:rsidRPr="00594118">
        <w:t>2).</w:t>
      </w:r>
    </w:p>
    <w:p w14:paraId="266FDD0D" w14:textId="17CDA108" w:rsidR="00F47C22" w:rsidRPr="005720C5" w:rsidRDefault="005720C5" w:rsidP="005720C5">
      <w:pPr>
        <w:pStyle w:val="SingleTxtG"/>
        <w:rPr>
          <w:b/>
        </w:rPr>
      </w:pPr>
      <w:r w:rsidRPr="005720C5">
        <w:t>36.</w:t>
      </w:r>
      <w:r w:rsidRPr="005720C5">
        <w:tab/>
      </w:r>
      <w:r w:rsidR="007B29B9" w:rsidRPr="00594118">
        <w:rPr>
          <w:b/>
        </w:rPr>
        <w:t xml:space="preserve">El Comité recomienda que el Estado parte tome en cuenta su recomendación general núm. 25 (2000) </w:t>
      </w:r>
      <w:r w:rsidR="00280894">
        <w:rPr>
          <w:b/>
        </w:rPr>
        <w:t xml:space="preserve">sobre </w:t>
      </w:r>
      <w:r w:rsidR="007B29B9" w:rsidRPr="00594118">
        <w:rPr>
          <w:b/>
        </w:rPr>
        <w:t xml:space="preserve">las dimensiones de la discriminación racial relacionadas con el género, e incluya una perspectiva de género en todas sus políticas y estrategias para hacer frente a las múltiples formas de discriminación que afectan, en especial, a las mujeres pertenecientes a pueblos </w:t>
      </w:r>
      <w:r w:rsidR="007B29B9" w:rsidRPr="005720C5">
        <w:rPr>
          <w:b/>
        </w:rPr>
        <w:t>indígenas</w:t>
      </w:r>
      <w:r w:rsidR="007B29B9" w:rsidRPr="00594118">
        <w:rPr>
          <w:b/>
        </w:rPr>
        <w:t xml:space="preserve">, </w:t>
      </w:r>
      <w:r w:rsidR="007B29B9" w:rsidRPr="005720C5">
        <w:rPr>
          <w:b/>
        </w:rPr>
        <w:t xml:space="preserve">afrodescendientes </w:t>
      </w:r>
      <w:r w:rsidR="00302A9B" w:rsidRPr="005720C5">
        <w:rPr>
          <w:b/>
        </w:rPr>
        <w:t xml:space="preserve">y </w:t>
      </w:r>
      <w:r w:rsidR="007B29B9" w:rsidRPr="005720C5">
        <w:rPr>
          <w:b/>
        </w:rPr>
        <w:t>migrantes</w:t>
      </w:r>
      <w:r w:rsidR="007C1EAC" w:rsidRPr="005720C5">
        <w:rPr>
          <w:b/>
        </w:rPr>
        <w:t>, incluid</w:t>
      </w:r>
      <w:r w:rsidR="00F237CE" w:rsidRPr="005720C5">
        <w:rPr>
          <w:b/>
        </w:rPr>
        <w:t>a</w:t>
      </w:r>
      <w:r w:rsidR="007C1EAC" w:rsidRPr="005720C5">
        <w:rPr>
          <w:b/>
        </w:rPr>
        <w:t xml:space="preserve">s </w:t>
      </w:r>
      <w:r w:rsidR="00F237CE" w:rsidRPr="005720C5">
        <w:rPr>
          <w:b/>
        </w:rPr>
        <w:t xml:space="preserve">las personas lesbianas, gais, bisexuales, </w:t>
      </w:r>
      <w:proofErr w:type="spellStart"/>
      <w:r w:rsidR="00F237CE" w:rsidRPr="005720C5">
        <w:rPr>
          <w:b/>
        </w:rPr>
        <w:t>transgénero</w:t>
      </w:r>
      <w:proofErr w:type="spellEnd"/>
      <w:r w:rsidR="00F237CE" w:rsidRPr="005720C5">
        <w:rPr>
          <w:b/>
        </w:rPr>
        <w:t xml:space="preserve"> e intersexuales</w:t>
      </w:r>
      <w:r w:rsidR="00F237CE">
        <w:rPr>
          <w:b/>
        </w:rPr>
        <w:t>,</w:t>
      </w:r>
      <w:r w:rsidR="00F237CE" w:rsidRPr="005720C5">
        <w:rPr>
          <w:b/>
        </w:rPr>
        <w:t> </w:t>
      </w:r>
      <w:r w:rsidR="007B29B9" w:rsidRPr="005720C5">
        <w:rPr>
          <w:b/>
        </w:rPr>
        <w:t>y otras minorías</w:t>
      </w:r>
      <w:r w:rsidR="007B29B9" w:rsidRPr="00382898">
        <w:rPr>
          <w:b/>
        </w:rPr>
        <w:t xml:space="preserve">. </w:t>
      </w:r>
      <w:r w:rsidR="007B29B9" w:rsidRPr="005720C5">
        <w:rPr>
          <w:b/>
        </w:rPr>
        <w:t>Se recomienda también contar con estadísticas desglosadas al respecto.</w:t>
      </w:r>
    </w:p>
    <w:p w14:paraId="44E2AADD" w14:textId="1CAC0809" w:rsidR="00F47C22" w:rsidRDefault="00F47C22" w:rsidP="00F47C22">
      <w:pPr>
        <w:pStyle w:val="H1G"/>
        <w:spacing w:before="320"/>
        <w:ind w:left="1138" w:right="1138" w:hanging="1138"/>
      </w:pPr>
      <w:r>
        <w:tab/>
        <w:t>D.</w:t>
      </w:r>
      <w:r>
        <w:tab/>
        <w:t>Otras recomendaciones</w:t>
      </w:r>
    </w:p>
    <w:p w14:paraId="46C1BB2C" w14:textId="77777777" w:rsidR="00F47C22" w:rsidRDefault="00F47C22" w:rsidP="00F47C22">
      <w:pPr>
        <w:pStyle w:val="H23G"/>
        <w:spacing w:before="220"/>
        <w:ind w:left="1138" w:right="1138" w:hanging="1138"/>
      </w:pPr>
      <w:r>
        <w:tab/>
      </w:r>
      <w:r>
        <w:tab/>
        <w:t>Ratificación de otros tratados</w:t>
      </w:r>
    </w:p>
    <w:p w14:paraId="11366D7D" w14:textId="242AC4D3" w:rsidR="00F47C22" w:rsidRDefault="005720C5" w:rsidP="005720C5">
      <w:pPr>
        <w:pStyle w:val="SingleTxtG"/>
        <w:rPr>
          <w:b/>
          <w:bCs/>
        </w:rPr>
      </w:pPr>
      <w:r>
        <w:rPr>
          <w:bCs/>
        </w:rPr>
        <w:t>37.</w:t>
      </w:r>
      <w:r>
        <w:rPr>
          <w:bCs/>
        </w:rPr>
        <w:tab/>
      </w:r>
      <w:r w:rsidR="00F47C22">
        <w:rPr>
          <w:b/>
        </w:rPr>
        <w:t>Teniendo</w:t>
      </w:r>
      <w:r w:rsidR="00F47C22">
        <w:rPr>
          <w:b/>
          <w:bCs/>
        </w:rPr>
        <w:t xml:space="preserve"> presente la indivisibilidad de todos los derechos humanos, el Comité alienta al Estado parte a ratificar la Convención Interamericana contra el Racismo, la Discriminación Racial y Formas Conexas de Intolerancia, de 2013, y la Convención Interamericana </w:t>
      </w:r>
      <w:r w:rsidR="00AB1912">
        <w:rPr>
          <w:b/>
          <w:bCs/>
        </w:rPr>
        <w:t>c</w:t>
      </w:r>
      <w:r w:rsidR="00F47C22">
        <w:rPr>
          <w:b/>
          <w:bCs/>
        </w:rPr>
        <w:t xml:space="preserve">ontra Toda Forma de Discriminación e Intolerancia, de 2013. </w:t>
      </w:r>
    </w:p>
    <w:p w14:paraId="70131A77" w14:textId="77777777" w:rsidR="00F47C22" w:rsidRDefault="00F47C22" w:rsidP="00F47C22">
      <w:pPr>
        <w:pStyle w:val="H23G"/>
        <w:spacing w:before="220"/>
        <w:ind w:left="1138" w:right="1138" w:hanging="1138"/>
      </w:pPr>
      <w:r>
        <w:tab/>
      </w:r>
      <w:r>
        <w:tab/>
        <w:t>Enmienda al artículo 8 de la Convención</w:t>
      </w:r>
    </w:p>
    <w:p w14:paraId="27EB4111" w14:textId="3DC40619" w:rsidR="00F47C22" w:rsidRDefault="005720C5" w:rsidP="005720C5">
      <w:pPr>
        <w:pStyle w:val="SingleTxtG"/>
      </w:pPr>
      <w:r>
        <w:t>38.</w:t>
      </w:r>
      <w:r>
        <w:tab/>
      </w:r>
      <w:r w:rsidR="00F47C22">
        <w:rPr>
          <w:b/>
          <w:bCs/>
        </w:rPr>
        <w:t xml:space="preserve">El </w:t>
      </w:r>
      <w:r w:rsidR="00F47C22" w:rsidRPr="0023008B">
        <w:rPr>
          <w:b/>
        </w:rPr>
        <w:t>Comité</w:t>
      </w:r>
      <w:r w:rsidR="00F47C22">
        <w:rPr>
          <w:b/>
          <w:bCs/>
        </w:rPr>
        <w:t xml:space="preserve"> recomienda que el Estado parte ratifique la enmienda al párrafo 6 del </w:t>
      </w:r>
      <w:r w:rsidR="00F47C22">
        <w:rPr>
          <w:b/>
          <w:bCs/>
          <w:lang w:val="es-ES_tradnl"/>
        </w:rPr>
        <w:t>artículo</w:t>
      </w:r>
      <w:r w:rsidR="00F47C22">
        <w:rPr>
          <w:b/>
          <w:bCs/>
        </w:rPr>
        <w:t> 8 de la Convención, aprobada el 15 de enero de 1992 en la 14ª reunión de los Estados partes en la Convención y que hizo suya la Asamblea General en su resolución 47/111.</w:t>
      </w:r>
    </w:p>
    <w:p w14:paraId="072BEA24" w14:textId="77777777" w:rsidR="00F47C22" w:rsidRDefault="00F47C22" w:rsidP="00F47C22">
      <w:pPr>
        <w:pStyle w:val="H23G"/>
      </w:pPr>
      <w:r>
        <w:tab/>
      </w:r>
      <w:r>
        <w:tab/>
        <w:t xml:space="preserve">Declaración y Programa de Acción de </w:t>
      </w:r>
      <w:proofErr w:type="spellStart"/>
      <w:r>
        <w:t>Durban</w:t>
      </w:r>
      <w:proofErr w:type="spellEnd"/>
    </w:p>
    <w:p w14:paraId="3AC22D10" w14:textId="46C990C7" w:rsidR="00F47C22" w:rsidRDefault="005720C5" w:rsidP="005720C5">
      <w:pPr>
        <w:pStyle w:val="SingleTxtG"/>
        <w:rPr>
          <w:b/>
        </w:rPr>
      </w:pPr>
      <w:r>
        <w:t>39.</w:t>
      </w:r>
      <w:r>
        <w:tab/>
      </w:r>
      <w:r w:rsidR="00F47C22">
        <w:rPr>
          <w:b/>
        </w:rPr>
        <w:t xml:space="preserve">A la luz de su recomendación general núm. 33 (2009) sobre el seguimiento de la Conferencia de Examen de </w:t>
      </w:r>
      <w:proofErr w:type="spellStart"/>
      <w:r w:rsidR="00F47C22">
        <w:rPr>
          <w:b/>
        </w:rPr>
        <w:t>Durban</w:t>
      </w:r>
      <w:proofErr w:type="spellEnd"/>
      <w:r w:rsidR="00F47C22">
        <w:rPr>
          <w:b/>
        </w:rPr>
        <w:t xml:space="preserve">, el Comité recomienda al Estado parte que, al incorporar la Convención en su legislación nacional, tenga en cuenta la Declaración y el Programa de Acción de </w:t>
      </w:r>
      <w:proofErr w:type="spellStart"/>
      <w:r w:rsidR="00F47C22">
        <w:rPr>
          <w:b/>
        </w:rPr>
        <w:t>Durban</w:t>
      </w:r>
      <w:proofErr w:type="spellEnd"/>
      <w:r w:rsidR="00F47C22">
        <w:rPr>
          <w:b/>
        </w:rPr>
        <w:t xml:space="preserve">, aprobados en septiembre de 2001 por la Conferencia Mundial contra el Racismo, la Discriminación Racial, la Xenofobia y las Formas Conexas de Intolerancia, así como el documento final de la Conferencia de Examen de </w:t>
      </w:r>
      <w:proofErr w:type="spellStart"/>
      <w:r w:rsidR="00F47C22">
        <w:rPr>
          <w:b/>
        </w:rPr>
        <w:t>Durban</w:t>
      </w:r>
      <w:proofErr w:type="spellEnd"/>
      <w:r w:rsidR="00F47C22">
        <w:rPr>
          <w:b/>
        </w:rPr>
        <w:t xml:space="preserve">, celebrada en abril de 2009. El Comité pide al Estado parte que en su próximo informe periódico incluya información concreta sobre los planes de acción y demás medidas adoptadas para aplicar la Declaración y el Programa de Acción en el ámbito nacional. </w:t>
      </w:r>
    </w:p>
    <w:p w14:paraId="46478B50" w14:textId="77777777" w:rsidR="00F47C22" w:rsidRDefault="00F47C22" w:rsidP="00F47C22">
      <w:pPr>
        <w:pStyle w:val="H23G"/>
        <w:spacing w:before="220"/>
        <w:ind w:left="1138" w:right="1138" w:hanging="1138"/>
      </w:pPr>
      <w:r>
        <w:tab/>
      </w:r>
      <w:r>
        <w:tab/>
        <w:t xml:space="preserve">Decenio Internacional de los Afrodescendientes </w:t>
      </w:r>
    </w:p>
    <w:p w14:paraId="41B8675C" w14:textId="1C1E0599" w:rsidR="00F47C22" w:rsidRDefault="005720C5" w:rsidP="005720C5">
      <w:pPr>
        <w:pStyle w:val="SingleTxtG"/>
        <w:rPr>
          <w:b/>
          <w:bCs/>
        </w:rPr>
      </w:pPr>
      <w:r>
        <w:rPr>
          <w:bCs/>
        </w:rPr>
        <w:t>40.</w:t>
      </w:r>
      <w:r>
        <w:rPr>
          <w:bCs/>
        </w:rPr>
        <w:tab/>
      </w:r>
      <w:r w:rsidR="00F47C22">
        <w:rPr>
          <w:b/>
          <w:bCs/>
        </w:rPr>
        <w:t xml:space="preserve">A la luz de las resoluciones 68/237 de la Asamblea General sobre la </w:t>
      </w:r>
      <w:r w:rsidR="00F47C22" w:rsidRPr="0023008B">
        <w:rPr>
          <w:b/>
        </w:rPr>
        <w:t>proclamación</w:t>
      </w:r>
      <w:r w:rsidR="00F47C22">
        <w:rPr>
          <w:b/>
          <w:bCs/>
        </w:rPr>
        <w:t xml:space="preserve"> del Decenio Internacional </w:t>
      </w:r>
      <w:r w:rsidR="00161ABA">
        <w:rPr>
          <w:b/>
          <w:bCs/>
        </w:rPr>
        <w:t xml:space="preserve">de </w:t>
      </w:r>
      <w:r w:rsidR="00F47C22">
        <w:rPr>
          <w:b/>
          <w:bCs/>
        </w:rPr>
        <w:t xml:space="preserve">los Afrodescendientes (2015-2024), y 69/16, sobre el programa de actividades del Decenio, el Comité recomienda que el Estado parte prepare e implemente un programa adecuado de medidas y políticas. El Comité también solicita que en su próximo informe </w:t>
      </w:r>
      <w:r w:rsidR="00F47C22">
        <w:rPr>
          <w:b/>
          <w:bCs/>
          <w:lang w:val="es-GT"/>
        </w:rPr>
        <w:t xml:space="preserve">periódico </w:t>
      </w:r>
      <w:r w:rsidR="00F47C22">
        <w:rPr>
          <w:b/>
          <w:bCs/>
        </w:rPr>
        <w:t>incluya información precisa sobre las medidas concretas adoptadas en este marco, a la luz de su recomendación general núm. 34.</w:t>
      </w:r>
    </w:p>
    <w:p w14:paraId="5A621275" w14:textId="77777777" w:rsidR="00F47C22" w:rsidRDefault="00F47C22" w:rsidP="00F47C22">
      <w:pPr>
        <w:pStyle w:val="H23G"/>
        <w:spacing w:before="220"/>
        <w:ind w:left="1138" w:right="1138" w:hanging="1138"/>
      </w:pPr>
      <w:r>
        <w:tab/>
      </w:r>
      <w:r>
        <w:tab/>
        <w:t>Difusión de los informes y de las observaciones finales</w:t>
      </w:r>
    </w:p>
    <w:p w14:paraId="7F6AEAC4" w14:textId="29DCF133" w:rsidR="00F47C22" w:rsidRDefault="005720C5" w:rsidP="005720C5">
      <w:pPr>
        <w:pStyle w:val="SingleTxtG"/>
        <w:rPr>
          <w:b/>
        </w:rPr>
      </w:pPr>
      <w:r>
        <w:t>41.</w:t>
      </w:r>
      <w:r>
        <w:tab/>
      </w:r>
      <w:r w:rsidR="00F47C22">
        <w:rPr>
          <w:b/>
        </w:rPr>
        <w:t xml:space="preserve">El Comité recomienda que el Estado parte ponga sus informes a disposición del público desde el momento mismo de su presentación y que difunda las presentes observaciones finales, incluyendo en las lenguas de las comunidades indígenas. </w:t>
      </w:r>
    </w:p>
    <w:p w14:paraId="43BD605B" w14:textId="77777777" w:rsidR="00F47C22" w:rsidRDefault="00F47C22" w:rsidP="00F47C22">
      <w:pPr>
        <w:pStyle w:val="H23G"/>
        <w:spacing w:before="220"/>
        <w:ind w:left="1138" w:right="1138" w:hanging="1138"/>
      </w:pPr>
      <w:r>
        <w:tab/>
      </w:r>
      <w:r>
        <w:tab/>
        <w:t>Consultas con organizaciones de la sociedad civil</w:t>
      </w:r>
    </w:p>
    <w:p w14:paraId="53266656" w14:textId="126AE4EC" w:rsidR="00F47C22" w:rsidRDefault="005720C5" w:rsidP="005720C5">
      <w:pPr>
        <w:pStyle w:val="SingleTxtG"/>
        <w:rPr>
          <w:b/>
        </w:rPr>
      </w:pPr>
      <w:r>
        <w:t>42.</w:t>
      </w:r>
      <w:r>
        <w:tab/>
      </w:r>
      <w:r w:rsidR="00F47C22">
        <w:rPr>
          <w:b/>
        </w:rPr>
        <w:t>El Comité recomienda al Estado parte que celebre consultas y extienda su diálogo con las organizaciones de la sociedad civil dedicadas a la protección de los derechos humanos, en particular a la lucha contra la discriminación racial, en relación con la preparación del próximo informe periódico y el seguimiento de las presentes observaciones finales.</w:t>
      </w:r>
    </w:p>
    <w:p w14:paraId="0330E4EF" w14:textId="77777777" w:rsidR="00F47C22" w:rsidRDefault="00F47C22" w:rsidP="00F47C22">
      <w:pPr>
        <w:pStyle w:val="H23G"/>
        <w:spacing w:before="220"/>
        <w:ind w:left="1138" w:right="1138" w:hanging="1138"/>
        <w:rPr>
          <w:bCs/>
        </w:rPr>
      </w:pPr>
      <w:r>
        <w:tab/>
      </w:r>
      <w:r>
        <w:tab/>
        <w:t>Seguimiento de las observaciones finales</w:t>
      </w:r>
    </w:p>
    <w:p w14:paraId="05CB69B0" w14:textId="18370942" w:rsidR="00F47C22" w:rsidRDefault="005720C5" w:rsidP="005720C5">
      <w:pPr>
        <w:pStyle w:val="SingleTxtG"/>
        <w:rPr>
          <w:b/>
        </w:rPr>
      </w:pPr>
      <w:r>
        <w:t>43.</w:t>
      </w:r>
      <w:r>
        <w:tab/>
      </w:r>
      <w:r w:rsidR="00F47C22">
        <w:rPr>
          <w:b/>
        </w:rPr>
        <w:t xml:space="preserve">De conformidad con el artículo 9, párrafo 1, de la Convención y del artículo 65 de su </w:t>
      </w:r>
      <w:r w:rsidR="00F47C22" w:rsidRPr="0035662C">
        <w:rPr>
          <w:b/>
        </w:rPr>
        <w:t>reglamento</w:t>
      </w:r>
      <w:r w:rsidR="00F47C22">
        <w:rPr>
          <w:b/>
        </w:rPr>
        <w:t xml:space="preserve"> enmendado, el Comité pide al Estado parte que, en el plazo de un año a partir de la aprobación de las presentes observaciones finales, le presente información sobre el curso dado a las recomendaciones que figuran en los párrafos 15, 2</w:t>
      </w:r>
      <w:r w:rsidR="00252D4C">
        <w:rPr>
          <w:b/>
        </w:rPr>
        <w:t>4</w:t>
      </w:r>
      <w:r w:rsidR="00F47C22">
        <w:rPr>
          <w:b/>
        </w:rPr>
        <w:t xml:space="preserve"> y 2</w:t>
      </w:r>
      <w:r w:rsidR="00252D4C">
        <w:rPr>
          <w:b/>
        </w:rPr>
        <w:t>6</w:t>
      </w:r>
      <w:r w:rsidR="00161ABA">
        <w:rPr>
          <w:b/>
        </w:rPr>
        <w:t xml:space="preserve">, apartados </w:t>
      </w:r>
      <w:r w:rsidR="00A45CDC">
        <w:rPr>
          <w:b/>
        </w:rPr>
        <w:t xml:space="preserve">b) </w:t>
      </w:r>
      <w:r w:rsidR="00161ABA">
        <w:rPr>
          <w:b/>
        </w:rPr>
        <w:t xml:space="preserve">y </w:t>
      </w:r>
      <w:r w:rsidR="00A45CDC">
        <w:rPr>
          <w:b/>
        </w:rPr>
        <w:t>c)</w:t>
      </w:r>
      <w:r w:rsidR="00F47C22">
        <w:rPr>
          <w:b/>
        </w:rPr>
        <w:t>.</w:t>
      </w:r>
      <w:r w:rsidR="00F47C22">
        <w:t xml:space="preserve"> </w:t>
      </w:r>
    </w:p>
    <w:p w14:paraId="67A235A4" w14:textId="77777777" w:rsidR="00F47C22" w:rsidRDefault="00F47C22" w:rsidP="00F47C22">
      <w:pPr>
        <w:pStyle w:val="H23G"/>
        <w:spacing w:before="220"/>
        <w:ind w:left="1138" w:right="1138" w:hanging="1138"/>
        <w:rPr>
          <w:bCs/>
        </w:rPr>
      </w:pPr>
      <w:r>
        <w:tab/>
      </w:r>
      <w:r>
        <w:tab/>
        <w:t>Párrafos de particular importancia</w:t>
      </w:r>
    </w:p>
    <w:p w14:paraId="54F0C7F5" w14:textId="3CD6D1AF" w:rsidR="00F47C22" w:rsidRDefault="005720C5" w:rsidP="005720C5">
      <w:pPr>
        <w:pStyle w:val="SingleTxtG"/>
        <w:rPr>
          <w:b/>
        </w:rPr>
      </w:pPr>
      <w:r>
        <w:t>44.</w:t>
      </w:r>
      <w:r>
        <w:tab/>
      </w:r>
      <w:r w:rsidR="00F47C22">
        <w:rPr>
          <w:b/>
        </w:rPr>
        <w:t xml:space="preserve">El Comité desea asimismo señalar al Estado parte la particular importancia de las recomendaciones que figuran en los párrafos </w:t>
      </w:r>
      <w:r w:rsidR="00B26D96">
        <w:rPr>
          <w:b/>
        </w:rPr>
        <w:t>7</w:t>
      </w:r>
      <w:r w:rsidR="00A45CDC">
        <w:rPr>
          <w:b/>
        </w:rPr>
        <w:t xml:space="preserve">, </w:t>
      </w:r>
      <w:r w:rsidR="00F47C22">
        <w:rPr>
          <w:b/>
        </w:rPr>
        <w:t xml:space="preserve">19, 21, </w:t>
      </w:r>
      <w:r w:rsidR="00252D4C">
        <w:rPr>
          <w:b/>
        </w:rPr>
        <w:t>30</w:t>
      </w:r>
      <w:r w:rsidR="00F47C22">
        <w:rPr>
          <w:b/>
        </w:rPr>
        <w:t xml:space="preserve"> y 3</w:t>
      </w:r>
      <w:r w:rsidR="00252D4C">
        <w:rPr>
          <w:b/>
        </w:rPr>
        <w:t>4</w:t>
      </w:r>
      <w:r w:rsidR="00161ABA">
        <w:rPr>
          <w:b/>
        </w:rPr>
        <w:t xml:space="preserve"> </w:t>
      </w:r>
      <w:r w:rsidR="00161ABA" w:rsidRPr="005720C5">
        <w:rPr>
          <w:b/>
          <w:i/>
          <w:iCs/>
        </w:rPr>
        <w:t>supra</w:t>
      </w:r>
      <w:r w:rsidR="00F47C22">
        <w:rPr>
          <w:b/>
        </w:rPr>
        <w:t xml:space="preserve">, </w:t>
      </w:r>
      <w:r w:rsidR="00161ABA">
        <w:rPr>
          <w:b/>
        </w:rPr>
        <w:t xml:space="preserve">y </w:t>
      </w:r>
      <w:r w:rsidR="00F47C22">
        <w:rPr>
          <w:b/>
        </w:rPr>
        <w:t>pide al Estado parte que en su próximo informe periódico incluya información detallada sobre las medidas concretas que adopte para aplicarlas.</w:t>
      </w:r>
    </w:p>
    <w:p w14:paraId="3433E86F" w14:textId="77777777" w:rsidR="00F47C22" w:rsidRDefault="00F47C22" w:rsidP="00F47C22">
      <w:pPr>
        <w:pStyle w:val="H23G"/>
        <w:spacing w:before="220"/>
        <w:ind w:left="1138" w:right="1138" w:hanging="1138"/>
      </w:pPr>
      <w:r>
        <w:tab/>
      </w:r>
      <w:r>
        <w:tab/>
        <w:t>Preparación del próximo informe periódico</w:t>
      </w:r>
    </w:p>
    <w:p w14:paraId="285A37C9" w14:textId="3C484DA0" w:rsidR="007B29B9" w:rsidRPr="00382898" w:rsidRDefault="005720C5" w:rsidP="005720C5">
      <w:pPr>
        <w:pStyle w:val="SingleTxtG"/>
        <w:rPr>
          <w:b/>
          <w:bCs/>
          <w:lang w:val="es-ES_tradnl"/>
        </w:rPr>
      </w:pPr>
      <w:r w:rsidRPr="00382898">
        <w:rPr>
          <w:bCs/>
          <w:lang w:val="es-ES_tradnl"/>
        </w:rPr>
        <w:t>45.</w:t>
      </w:r>
      <w:r w:rsidRPr="00382898">
        <w:rPr>
          <w:bCs/>
          <w:lang w:val="es-ES_tradnl"/>
        </w:rPr>
        <w:tab/>
      </w:r>
      <w:r w:rsidR="00F47C22">
        <w:rPr>
          <w:b/>
          <w:bCs/>
        </w:rPr>
        <w:t>El Comité recomienda al Estado parte que presente sus informes periódicos 24</w:t>
      </w:r>
      <w:r w:rsidR="00161ABA">
        <w:rPr>
          <w:b/>
          <w:bCs/>
        </w:rPr>
        <w:t xml:space="preserve">º a </w:t>
      </w:r>
      <w:r w:rsidR="00B26D96">
        <w:rPr>
          <w:b/>
          <w:bCs/>
        </w:rPr>
        <w:t>2</w:t>
      </w:r>
      <w:r w:rsidR="00FD08CB">
        <w:rPr>
          <w:b/>
          <w:bCs/>
        </w:rPr>
        <w:t>6</w:t>
      </w:r>
      <w:r w:rsidR="00161ABA">
        <w:rPr>
          <w:b/>
          <w:bCs/>
        </w:rPr>
        <w:t>º</w:t>
      </w:r>
      <w:r w:rsidR="00F47C22">
        <w:rPr>
          <w:b/>
          <w:bCs/>
        </w:rPr>
        <w:t xml:space="preserve"> en un solo </w:t>
      </w:r>
      <w:r w:rsidR="00F47C22" w:rsidRPr="0023008B">
        <w:rPr>
          <w:b/>
        </w:rPr>
        <w:t>documento</w:t>
      </w:r>
      <w:r w:rsidR="00F47C22">
        <w:rPr>
          <w:b/>
          <w:bCs/>
        </w:rPr>
        <w:t xml:space="preserve"> combinado a más tardar el 4 de enero de 20</w:t>
      </w:r>
      <w:r w:rsidR="00B26D96">
        <w:rPr>
          <w:b/>
          <w:bCs/>
        </w:rPr>
        <w:t>20</w:t>
      </w:r>
      <w:r w:rsidR="00F47C22">
        <w:rPr>
          <w:b/>
          <w:bCs/>
        </w:rPr>
        <w:t xml:space="preserve">, teniendo en cuenta las </w:t>
      </w:r>
      <w:r w:rsidR="00F47C22" w:rsidRPr="00A82DFE">
        <w:rPr>
          <w:b/>
        </w:rPr>
        <w:t>directrices</w:t>
      </w:r>
      <w:r w:rsidR="00F47C22" w:rsidRPr="00A82DFE">
        <w:rPr>
          <w:b/>
          <w:bCs/>
        </w:rPr>
        <w:t xml:space="preserve"> </w:t>
      </w:r>
      <w:r w:rsidR="00F47C22">
        <w:rPr>
          <w:b/>
          <w:bCs/>
        </w:rPr>
        <w:t>relativas al documento específicamente destinado al Comité, aprobadas por este en su 71º período de sesiones (CERD/C/2007/1), y que en dicho documento se aborden todas las cuestiones planteadas en las presentes observaciones finales. A la luz de la resolución 68/268 de la Asamblea General, el Comité insta al Estado parte a respetar el límite de 21.200 palabras para los informes periódicos.</w:t>
      </w:r>
      <w:r w:rsidR="007B29B9" w:rsidRPr="00382898">
        <w:rPr>
          <w:b/>
          <w:bCs/>
          <w:lang w:val="es-ES_tradnl"/>
        </w:rPr>
        <w:t xml:space="preserve"> </w:t>
      </w:r>
    </w:p>
    <w:p w14:paraId="3315BAD3" w14:textId="5A4E1BDC" w:rsidR="00136E91" w:rsidRDefault="0018761D" w:rsidP="00A04834">
      <w:pPr>
        <w:pStyle w:val="SingleTxtG"/>
        <w:suppressAutoHyphens/>
        <w:spacing w:before="240" w:after="0" w:line="240" w:lineRule="auto"/>
        <w:ind w:left="1138" w:right="1138"/>
        <w:jc w:val="center"/>
        <w:rPr>
          <w:bCs/>
          <w:u w:val="single"/>
        </w:rPr>
      </w:pPr>
      <w:r w:rsidRPr="006631F1">
        <w:rPr>
          <w:bCs/>
          <w:u w:val="single"/>
        </w:rPr>
        <w:tab/>
      </w:r>
      <w:r w:rsidRPr="006631F1">
        <w:rPr>
          <w:bCs/>
          <w:u w:val="single"/>
        </w:rPr>
        <w:tab/>
      </w:r>
      <w:r w:rsidRPr="006631F1">
        <w:rPr>
          <w:bCs/>
          <w:u w:val="single"/>
        </w:rPr>
        <w:tab/>
      </w:r>
    </w:p>
    <w:sectPr w:rsidR="00136E91" w:rsidSect="005720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839234" w15:done="0"/>
  <w15:commentEx w15:paraId="0B9AB4F9" w15:done="0"/>
  <w15:commentEx w15:paraId="5727E903" w15:done="0"/>
  <w15:commentEx w15:paraId="73F1FBC6" w15:done="0"/>
  <w15:commentEx w15:paraId="510EBC47" w15:done="0"/>
  <w15:commentEx w15:paraId="35911E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328AB" w14:textId="77777777" w:rsidR="00F25E50" w:rsidRDefault="00F25E50">
      <w:r>
        <w:separator/>
      </w:r>
    </w:p>
  </w:endnote>
  <w:endnote w:type="continuationSeparator" w:id="0">
    <w:p w14:paraId="2AF624D1" w14:textId="77777777" w:rsidR="00F25E50" w:rsidRDefault="00F2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B721" w14:textId="32948E52" w:rsidR="00880CCC" w:rsidRPr="00F93BD3" w:rsidRDefault="00880CCC" w:rsidP="0028194C">
    <w:pPr>
      <w:pStyle w:val="Piedepgina"/>
      <w:tabs>
        <w:tab w:val="left" w:pos="7745"/>
        <w:tab w:val="right" w:pos="9638"/>
      </w:tabs>
    </w:pPr>
    <w:r w:rsidRPr="00F93BD3">
      <w:rPr>
        <w:b/>
        <w:sz w:val="18"/>
      </w:rPr>
      <w:fldChar w:fldCharType="begin"/>
    </w:r>
    <w:r w:rsidRPr="00F93BD3">
      <w:rPr>
        <w:b/>
        <w:sz w:val="18"/>
      </w:rPr>
      <w:instrText xml:space="preserve"> PAGE  \* MERGEFORMAT </w:instrText>
    </w:r>
    <w:r w:rsidRPr="00F93BD3">
      <w:rPr>
        <w:b/>
        <w:sz w:val="18"/>
      </w:rPr>
      <w:fldChar w:fldCharType="separate"/>
    </w:r>
    <w:r w:rsidR="00DE26DC">
      <w:rPr>
        <w:b/>
        <w:noProof/>
        <w:sz w:val="18"/>
      </w:rPr>
      <w:t>8</w:t>
    </w:r>
    <w:r w:rsidRPr="00F93BD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E684" w14:textId="5E1BC7C7" w:rsidR="00880CCC" w:rsidRPr="00F93BD3" w:rsidRDefault="00880CCC" w:rsidP="00F93BD3">
    <w:pPr>
      <w:pStyle w:val="Piedepgina"/>
      <w:tabs>
        <w:tab w:val="right" w:pos="9638"/>
      </w:tabs>
      <w:rPr>
        <w:b/>
        <w:sz w:val="18"/>
      </w:rPr>
    </w:pPr>
    <w:r>
      <w:tab/>
    </w:r>
    <w:r w:rsidRPr="00F93BD3">
      <w:rPr>
        <w:b/>
        <w:sz w:val="18"/>
      </w:rPr>
      <w:fldChar w:fldCharType="begin"/>
    </w:r>
    <w:r w:rsidRPr="00F93BD3">
      <w:rPr>
        <w:b/>
        <w:sz w:val="18"/>
      </w:rPr>
      <w:instrText xml:space="preserve"> PAGE  \* MERGEFORMAT </w:instrText>
    </w:r>
    <w:r w:rsidRPr="00F93BD3">
      <w:rPr>
        <w:b/>
        <w:sz w:val="18"/>
      </w:rPr>
      <w:fldChar w:fldCharType="separate"/>
    </w:r>
    <w:r w:rsidR="00DE26DC">
      <w:rPr>
        <w:b/>
        <w:noProof/>
        <w:sz w:val="18"/>
      </w:rPr>
      <w:t>9</w:t>
    </w:r>
    <w:r w:rsidRPr="00F93B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05AF" w14:textId="221F75E2" w:rsidR="002376A9" w:rsidRPr="004313F5" w:rsidRDefault="004313F5" w:rsidP="004313F5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GE.17</w:t>
    </w:r>
    <w:proofErr w:type="spellEnd"/>
    <w:r>
      <w:rPr>
        <w:sz w:val="20"/>
      </w:rPr>
      <w:t>-</w:t>
    </w:r>
    <w:proofErr w:type="gramStart"/>
    <w:r>
      <w:rPr>
        <w:sz w:val="20"/>
      </w:rPr>
      <w:t>00416  (</w:t>
    </w:r>
    <w:proofErr w:type="gramEnd"/>
    <w:r>
      <w:rPr>
        <w:sz w:val="20"/>
      </w:rPr>
      <w:t>S)</w:t>
    </w:r>
    <w:r>
      <w:rPr>
        <w:sz w:val="20"/>
      </w:rPr>
      <w:br/>
    </w:r>
    <w:r w:rsidRPr="004313F5">
      <w:rPr>
        <w:rFonts w:ascii="C39T30Lfz" w:hAnsi="C39T30Lfz"/>
        <w:sz w:val="56"/>
      </w:rPr>
      <w:t></w:t>
    </w:r>
    <w:r w:rsidRPr="004313F5">
      <w:rPr>
        <w:rFonts w:ascii="C39T30Lfz" w:hAnsi="C39T30Lfz"/>
        <w:sz w:val="56"/>
      </w:rPr>
      <w:t></w:t>
    </w:r>
    <w:r w:rsidRPr="004313F5">
      <w:rPr>
        <w:rFonts w:ascii="C39T30Lfz" w:hAnsi="C39T30Lfz"/>
        <w:sz w:val="56"/>
      </w:rPr>
      <w:t></w:t>
    </w:r>
    <w:r w:rsidRPr="004313F5">
      <w:rPr>
        <w:rFonts w:ascii="C39T30Lfz" w:hAnsi="C39T30Lfz"/>
        <w:sz w:val="56"/>
      </w:rPr>
      <w:t></w:t>
    </w:r>
    <w:r w:rsidRPr="004313F5">
      <w:rPr>
        <w:rFonts w:ascii="C39T30Lfz" w:hAnsi="C39T30Lfz"/>
        <w:sz w:val="56"/>
      </w:rPr>
      <w:t></w:t>
    </w:r>
    <w:r w:rsidRPr="004313F5">
      <w:rPr>
        <w:rFonts w:ascii="C39T30Lfz" w:hAnsi="C39T30Lfz"/>
        <w:sz w:val="56"/>
      </w:rPr>
      <w:t></w:t>
    </w:r>
    <w:r w:rsidRPr="004313F5">
      <w:rPr>
        <w:rFonts w:ascii="C39T30Lfz" w:hAnsi="C39T30Lfz"/>
        <w:sz w:val="56"/>
      </w:rPr>
      <w:t></w:t>
    </w:r>
    <w:r w:rsidRPr="004313F5">
      <w:rPr>
        <w:rFonts w:ascii="C39T30Lfz" w:hAnsi="C39T30Lfz"/>
        <w:sz w:val="56"/>
      </w:rPr>
      <w:t></w:t>
    </w:r>
    <w:r w:rsidRPr="004313F5">
      <w:rPr>
        <w:rFonts w:ascii="C39T30Lfz" w:hAnsi="C39T30Lfz"/>
        <w:sz w:val="56"/>
      </w:rPr>
      <w:t></w:t>
    </w:r>
    <w:r w:rsidRPr="004313F5"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1" layoutInCell="1" allowOverlap="1" wp14:anchorId="2BFA3472" wp14:editId="38BACEF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2" name="Imagen 2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2A2458D" wp14:editId="4736F345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1" name="Imagen 1" descr="http://undocs.org/m2/QRCode.ashx?DS=CERD/C/ARG/CO/21-2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RD/C/ARG/CO/21-23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2A952" w14:textId="77777777" w:rsidR="00F25E50" w:rsidRPr="001075E9" w:rsidRDefault="00F25E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93D7C9" w14:textId="77777777" w:rsidR="00F25E50" w:rsidRDefault="00F25E50">
      <w:r>
        <w:continuationSeparator/>
      </w:r>
    </w:p>
  </w:footnote>
  <w:footnote w:id="1">
    <w:p w14:paraId="344F04DE" w14:textId="2FB134EE" w:rsidR="00F25D52" w:rsidRPr="005720C5" w:rsidRDefault="00F25D52" w:rsidP="00ED5BD9">
      <w:pPr>
        <w:pStyle w:val="Textonotapie"/>
        <w:rPr>
          <w:lang w:val="es-ES"/>
        </w:rPr>
      </w:pPr>
      <w:r w:rsidRPr="005720C5">
        <w:rPr>
          <w:rStyle w:val="Refdenotaalpie"/>
          <w:lang w:val="es-ES"/>
        </w:rPr>
        <w:tab/>
      </w:r>
      <w:r w:rsidRPr="005720C5">
        <w:rPr>
          <w:rStyle w:val="Refdenotaalpie"/>
          <w:sz w:val="20"/>
          <w:vertAlign w:val="baseline"/>
          <w:lang w:val="es-ES"/>
        </w:rPr>
        <w:t>*</w:t>
      </w:r>
      <w:r w:rsidRPr="005720C5">
        <w:rPr>
          <w:rStyle w:val="Refdenotaalpie"/>
          <w:sz w:val="20"/>
          <w:vertAlign w:val="baseline"/>
          <w:lang w:val="es-ES"/>
        </w:rPr>
        <w:tab/>
      </w:r>
      <w:r w:rsidRPr="005720C5">
        <w:rPr>
          <w:lang w:val="es-ES"/>
        </w:rPr>
        <w:t xml:space="preserve">Aprobadas por el Comité en su 91° período de sesiones (21 </w:t>
      </w:r>
      <w:r w:rsidR="00ED5BD9">
        <w:rPr>
          <w:lang w:val="es-ES"/>
        </w:rPr>
        <w:t xml:space="preserve">de </w:t>
      </w:r>
      <w:r w:rsidRPr="005720C5">
        <w:rPr>
          <w:lang w:val="es-ES"/>
        </w:rPr>
        <w:t xml:space="preserve">noviembre </w:t>
      </w:r>
      <w:r w:rsidR="00ED5BD9">
        <w:rPr>
          <w:lang w:val="es-ES"/>
        </w:rPr>
        <w:t xml:space="preserve">a </w:t>
      </w:r>
      <w:r w:rsidRPr="005720C5">
        <w:rPr>
          <w:lang w:val="es-ES"/>
        </w:rPr>
        <w:t xml:space="preserve">9 </w:t>
      </w:r>
      <w:r w:rsidR="00ED5BD9">
        <w:rPr>
          <w:lang w:val="es-ES"/>
        </w:rPr>
        <w:t xml:space="preserve">de </w:t>
      </w:r>
      <w:r w:rsidRPr="005720C5">
        <w:rPr>
          <w:lang w:val="es-ES"/>
        </w:rPr>
        <w:t xml:space="preserve">diciembre </w:t>
      </w:r>
      <w:r w:rsidR="00ED5BD9">
        <w:rPr>
          <w:lang w:val="es-ES"/>
        </w:rPr>
        <w:t xml:space="preserve">de </w:t>
      </w:r>
      <w:r w:rsidRPr="005720C5">
        <w:rPr>
          <w:lang w:val="es-ES"/>
        </w:rPr>
        <w:t>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C90CB" w14:textId="7CDCF16A" w:rsidR="00880CCC" w:rsidRPr="00F93BD3" w:rsidRDefault="00880CCC">
    <w:pPr>
      <w:pStyle w:val="Encabezado"/>
      <w:rPr>
        <w:lang w:val="en-GB"/>
      </w:rPr>
    </w:pPr>
    <w:r w:rsidRPr="00F93BD3">
      <w:rPr>
        <w:lang w:val="en-GB"/>
      </w:rPr>
      <w:t>CERD/C/</w:t>
    </w:r>
    <w:r>
      <w:rPr>
        <w:lang w:val="en-GB"/>
      </w:rPr>
      <w:t>ARG/CO/21-23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5649" w14:textId="43265855" w:rsidR="00880CCC" w:rsidRPr="00F93BD3" w:rsidRDefault="00880CCC" w:rsidP="00F93BD3">
    <w:pPr>
      <w:pStyle w:val="Encabezado"/>
      <w:jc w:val="right"/>
      <w:rPr>
        <w:lang w:val="en-GB"/>
      </w:rPr>
    </w:pPr>
    <w:r w:rsidRPr="00F93BD3">
      <w:rPr>
        <w:lang w:val="en-GB"/>
      </w:rPr>
      <w:t>CERD/C/</w:t>
    </w:r>
    <w:r>
      <w:rPr>
        <w:lang w:val="en-GB"/>
      </w:rPr>
      <w:t>ARG/CO/21-23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F5C3B" w14:textId="77777777" w:rsidR="004313F5" w:rsidRDefault="004313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B5529"/>
    <w:multiLevelType w:val="hybridMultilevel"/>
    <w:tmpl w:val="3CDAC978"/>
    <w:lvl w:ilvl="0" w:tplc="79A06CDC">
      <w:start w:val="1"/>
      <w:numFmt w:val="lowerLetter"/>
      <w:lvlText w:val="%1)"/>
      <w:lvlJc w:val="left"/>
      <w:pPr>
        <w:ind w:left="257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>
    <w:nsid w:val="1B913117"/>
    <w:multiLevelType w:val="hybridMultilevel"/>
    <w:tmpl w:val="58F0632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868AFE78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75B0BA5"/>
    <w:multiLevelType w:val="hybridMultilevel"/>
    <w:tmpl w:val="A2C62660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9B1CF5EE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0776EFA"/>
    <w:multiLevelType w:val="hybridMultilevel"/>
    <w:tmpl w:val="C1A8EEBE"/>
    <w:lvl w:ilvl="0" w:tplc="866C6288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C5F2673C">
      <w:start w:val="1"/>
      <w:numFmt w:val="lowerLetter"/>
      <w:lvlText w:val="%2)"/>
      <w:lvlJc w:val="left"/>
      <w:pPr>
        <w:ind w:left="2790" w:hanging="57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75C0D"/>
    <w:multiLevelType w:val="hybridMultilevel"/>
    <w:tmpl w:val="C1A8EEBE"/>
    <w:lvl w:ilvl="0" w:tplc="866C6288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C5F2673C">
      <w:start w:val="1"/>
      <w:numFmt w:val="lowerLetter"/>
      <w:lvlText w:val="%2)"/>
      <w:lvlJc w:val="left"/>
      <w:pPr>
        <w:ind w:left="2790" w:hanging="57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77061C7"/>
    <w:multiLevelType w:val="hybridMultilevel"/>
    <w:tmpl w:val="D6A054A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7">
      <w:start w:val="1"/>
      <w:numFmt w:val="lowerLetter"/>
      <w:lvlText w:val="%2)"/>
      <w:lvlJc w:val="left"/>
      <w:pPr>
        <w:ind w:left="220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FC4512D"/>
    <w:multiLevelType w:val="hybridMultilevel"/>
    <w:tmpl w:val="12F24FE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CD76C370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D014553"/>
    <w:multiLevelType w:val="hybridMultilevel"/>
    <w:tmpl w:val="587E4502"/>
    <w:lvl w:ilvl="0" w:tplc="BB2E5ED8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0AB448D"/>
    <w:multiLevelType w:val="hybridMultilevel"/>
    <w:tmpl w:val="C810A768"/>
    <w:lvl w:ilvl="0" w:tplc="782ED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90328BB"/>
    <w:multiLevelType w:val="hybridMultilevel"/>
    <w:tmpl w:val="A2E2512A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22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8"/>
  </w:num>
  <w:num w:numId="18">
    <w:abstractNumId w:val="13"/>
  </w:num>
  <w:num w:numId="19">
    <w:abstractNumId w:val="17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2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mily">
    <w15:presenceInfo w15:providerId="None" w15:userId="Fami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77"/>
    <w:rsid w:val="00002887"/>
    <w:rsid w:val="00003A4F"/>
    <w:rsid w:val="00005027"/>
    <w:rsid w:val="00006BB9"/>
    <w:rsid w:val="00006F20"/>
    <w:rsid w:val="00006F3C"/>
    <w:rsid w:val="00007175"/>
    <w:rsid w:val="00007323"/>
    <w:rsid w:val="0000787B"/>
    <w:rsid w:val="000107A1"/>
    <w:rsid w:val="00011951"/>
    <w:rsid w:val="0001215B"/>
    <w:rsid w:val="00012D05"/>
    <w:rsid w:val="00013A6C"/>
    <w:rsid w:val="00013D2E"/>
    <w:rsid w:val="00013DBB"/>
    <w:rsid w:val="000159D8"/>
    <w:rsid w:val="00020EFA"/>
    <w:rsid w:val="000218C1"/>
    <w:rsid w:val="000219F0"/>
    <w:rsid w:val="0002339D"/>
    <w:rsid w:val="00024108"/>
    <w:rsid w:val="00030825"/>
    <w:rsid w:val="00034737"/>
    <w:rsid w:val="00034D95"/>
    <w:rsid w:val="00036733"/>
    <w:rsid w:val="00037956"/>
    <w:rsid w:val="0004404C"/>
    <w:rsid w:val="000442CC"/>
    <w:rsid w:val="000456C2"/>
    <w:rsid w:val="0005134A"/>
    <w:rsid w:val="00056AF5"/>
    <w:rsid w:val="00057EC8"/>
    <w:rsid w:val="00064504"/>
    <w:rsid w:val="0006722F"/>
    <w:rsid w:val="0006739D"/>
    <w:rsid w:val="0007618B"/>
    <w:rsid w:val="00077DDF"/>
    <w:rsid w:val="00081084"/>
    <w:rsid w:val="00081E0C"/>
    <w:rsid w:val="0008236F"/>
    <w:rsid w:val="00084308"/>
    <w:rsid w:val="000843F7"/>
    <w:rsid w:val="00084581"/>
    <w:rsid w:val="00092DAF"/>
    <w:rsid w:val="00093796"/>
    <w:rsid w:val="000938F9"/>
    <w:rsid w:val="00093F91"/>
    <w:rsid w:val="00096C19"/>
    <w:rsid w:val="00097F82"/>
    <w:rsid w:val="000A1399"/>
    <w:rsid w:val="000A3B83"/>
    <w:rsid w:val="000A43F8"/>
    <w:rsid w:val="000A50ED"/>
    <w:rsid w:val="000A7F2E"/>
    <w:rsid w:val="000B1603"/>
    <w:rsid w:val="000B3B9F"/>
    <w:rsid w:val="000B57E7"/>
    <w:rsid w:val="000B5A3A"/>
    <w:rsid w:val="000B6587"/>
    <w:rsid w:val="000B7292"/>
    <w:rsid w:val="000C39B8"/>
    <w:rsid w:val="000C4930"/>
    <w:rsid w:val="000C4B20"/>
    <w:rsid w:val="000C74E0"/>
    <w:rsid w:val="000D009A"/>
    <w:rsid w:val="000D27B9"/>
    <w:rsid w:val="000D498D"/>
    <w:rsid w:val="000D5067"/>
    <w:rsid w:val="000D561E"/>
    <w:rsid w:val="000D6149"/>
    <w:rsid w:val="000D721D"/>
    <w:rsid w:val="000D78A2"/>
    <w:rsid w:val="000E2E23"/>
    <w:rsid w:val="000E314F"/>
    <w:rsid w:val="000E76E5"/>
    <w:rsid w:val="000F09DF"/>
    <w:rsid w:val="000F0A8A"/>
    <w:rsid w:val="000F2E68"/>
    <w:rsid w:val="000F42C2"/>
    <w:rsid w:val="000F5A0D"/>
    <w:rsid w:val="000F61B2"/>
    <w:rsid w:val="000F6D13"/>
    <w:rsid w:val="00102A02"/>
    <w:rsid w:val="00103646"/>
    <w:rsid w:val="001037B6"/>
    <w:rsid w:val="00103A93"/>
    <w:rsid w:val="0010433C"/>
    <w:rsid w:val="00104702"/>
    <w:rsid w:val="00104721"/>
    <w:rsid w:val="00105068"/>
    <w:rsid w:val="00107064"/>
    <w:rsid w:val="001075E9"/>
    <w:rsid w:val="00107B1A"/>
    <w:rsid w:val="00115CD0"/>
    <w:rsid w:val="00116ED2"/>
    <w:rsid w:val="0011786F"/>
    <w:rsid w:val="00117FB1"/>
    <w:rsid w:val="0012033A"/>
    <w:rsid w:val="00120698"/>
    <w:rsid w:val="00120871"/>
    <w:rsid w:val="001225BC"/>
    <w:rsid w:val="00123CC4"/>
    <w:rsid w:val="00123FD7"/>
    <w:rsid w:val="0013176F"/>
    <w:rsid w:val="001320DA"/>
    <w:rsid w:val="00132913"/>
    <w:rsid w:val="00133485"/>
    <w:rsid w:val="00136C5B"/>
    <w:rsid w:val="00136E91"/>
    <w:rsid w:val="001407BE"/>
    <w:rsid w:val="00142420"/>
    <w:rsid w:val="0014279C"/>
    <w:rsid w:val="001437A0"/>
    <w:rsid w:val="00144A3E"/>
    <w:rsid w:val="00145F2F"/>
    <w:rsid w:val="0014747C"/>
    <w:rsid w:val="001509FB"/>
    <w:rsid w:val="00150A0A"/>
    <w:rsid w:val="0015611C"/>
    <w:rsid w:val="00160FF7"/>
    <w:rsid w:val="00161ABA"/>
    <w:rsid w:val="00167ADF"/>
    <w:rsid w:val="00167DB4"/>
    <w:rsid w:val="00170CFD"/>
    <w:rsid w:val="001714DC"/>
    <w:rsid w:val="00172BCF"/>
    <w:rsid w:val="001743D2"/>
    <w:rsid w:val="0017681E"/>
    <w:rsid w:val="00176CF3"/>
    <w:rsid w:val="00180183"/>
    <w:rsid w:val="00180BCD"/>
    <w:rsid w:val="00181A26"/>
    <w:rsid w:val="00182E33"/>
    <w:rsid w:val="00183A61"/>
    <w:rsid w:val="00183CF2"/>
    <w:rsid w:val="00186374"/>
    <w:rsid w:val="0018761D"/>
    <w:rsid w:val="001878C8"/>
    <w:rsid w:val="00187C44"/>
    <w:rsid w:val="00192E52"/>
    <w:rsid w:val="00196389"/>
    <w:rsid w:val="00196E62"/>
    <w:rsid w:val="00197600"/>
    <w:rsid w:val="001A109A"/>
    <w:rsid w:val="001A1B2C"/>
    <w:rsid w:val="001A2816"/>
    <w:rsid w:val="001A3BEA"/>
    <w:rsid w:val="001A41A7"/>
    <w:rsid w:val="001B01EA"/>
    <w:rsid w:val="001B08F5"/>
    <w:rsid w:val="001B352B"/>
    <w:rsid w:val="001B4354"/>
    <w:rsid w:val="001B6DF7"/>
    <w:rsid w:val="001C0079"/>
    <w:rsid w:val="001C1158"/>
    <w:rsid w:val="001C254A"/>
    <w:rsid w:val="001C2606"/>
    <w:rsid w:val="001C4CF7"/>
    <w:rsid w:val="001C735C"/>
    <w:rsid w:val="001C7702"/>
    <w:rsid w:val="001C7A89"/>
    <w:rsid w:val="001D0B48"/>
    <w:rsid w:val="001D0BFE"/>
    <w:rsid w:val="001D12D7"/>
    <w:rsid w:val="001D37BE"/>
    <w:rsid w:val="001D38BB"/>
    <w:rsid w:val="001D3906"/>
    <w:rsid w:val="001D40A2"/>
    <w:rsid w:val="001D4F26"/>
    <w:rsid w:val="001E188D"/>
    <w:rsid w:val="001E1EB7"/>
    <w:rsid w:val="001E2446"/>
    <w:rsid w:val="001E48E5"/>
    <w:rsid w:val="001E68AC"/>
    <w:rsid w:val="001F1033"/>
    <w:rsid w:val="001F5CFC"/>
    <w:rsid w:val="00200DDA"/>
    <w:rsid w:val="002015AB"/>
    <w:rsid w:val="00201F1A"/>
    <w:rsid w:val="002031C7"/>
    <w:rsid w:val="00203CD3"/>
    <w:rsid w:val="0020600B"/>
    <w:rsid w:val="00206A8C"/>
    <w:rsid w:val="00206CC0"/>
    <w:rsid w:val="0021144E"/>
    <w:rsid w:val="00213CF9"/>
    <w:rsid w:val="00215849"/>
    <w:rsid w:val="00221765"/>
    <w:rsid w:val="00223CD4"/>
    <w:rsid w:val="002254BA"/>
    <w:rsid w:val="00225EE6"/>
    <w:rsid w:val="00226B56"/>
    <w:rsid w:val="00226D30"/>
    <w:rsid w:val="002270B5"/>
    <w:rsid w:val="00227A30"/>
    <w:rsid w:val="002302D1"/>
    <w:rsid w:val="00231EE0"/>
    <w:rsid w:val="002329D7"/>
    <w:rsid w:val="0023525C"/>
    <w:rsid w:val="00236BA0"/>
    <w:rsid w:val="002374C1"/>
    <w:rsid w:val="002376A9"/>
    <w:rsid w:val="0023771A"/>
    <w:rsid w:val="00237AF2"/>
    <w:rsid w:val="002433EC"/>
    <w:rsid w:val="00243CFC"/>
    <w:rsid w:val="00244A5D"/>
    <w:rsid w:val="0024572E"/>
    <w:rsid w:val="0025226E"/>
    <w:rsid w:val="00252D4C"/>
    <w:rsid w:val="002556AA"/>
    <w:rsid w:val="00261223"/>
    <w:rsid w:val="00264076"/>
    <w:rsid w:val="002644D0"/>
    <w:rsid w:val="00266CAF"/>
    <w:rsid w:val="002675C9"/>
    <w:rsid w:val="0027187D"/>
    <w:rsid w:val="00271FE9"/>
    <w:rsid w:val="002737D4"/>
    <w:rsid w:val="002744A7"/>
    <w:rsid w:val="00277CB7"/>
    <w:rsid w:val="00280894"/>
    <w:rsid w:val="0028194C"/>
    <w:rsid w:val="0028219E"/>
    <w:rsid w:val="00282A92"/>
    <w:rsid w:val="0028372B"/>
    <w:rsid w:val="00284DD7"/>
    <w:rsid w:val="0028683F"/>
    <w:rsid w:val="002879FB"/>
    <w:rsid w:val="00290303"/>
    <w:rsid w:val="00293287"/>
    <w:rsid w:val="00294043"/>
    <w:rsid w:val="0029584B"/>
    <w:rsid w:val="002962E5"/>
    <w:rsid w:val="0029661C"/>
    <w:rsid w:val="002A00F9"/>
    <w:rsid w:val="002A1936"/>
    <w:rsid w:val="002A2D4B"/>
    <w:rsid w:val="002A2EFC"/>
    <w:rsid w:val="002A381A"/>
    <w:rsid w:val="002A44DB"/>
    <w:rsid w:val="002A6E1C"/>
    <w:rsid w:val="002B01E1"/>
    <w:rsid w:val="002B03F3"/>
    <w:rsid w:val="002B05FD"/>
    <w:rsid w:val="002B2ACA"/>
    <w:rsid w:val="002B2CCA"/>
    <w:rsid w:val="002B35C3"/>
    <w:rsid w:val="002B527F"/>
    <w:rsid w:val="002B6074"/>
    <w:rsid w:val="002C0E18"/>
    <w:rsid w:val="002C2675"/>
    <w:rsid w:val="002C2B50"/>
    <w:rsid w:val="002C33BB"/>
    <w:rsid w:val="002C3AAE"/>
    <w:rsid w:val="002C4357"/>
    <w:rsid w:val="002C57F1"/>
    <w:rsid w:val="002C7EB8"/>
    <w:rsid w:val="002D13F5"/>
    <w:rsid w:val="002D18F6"/>
    <w:rsid w:val="002D3184"/>
    <w:rsid w:val="002D5AAC"/>
    <w:rsid w:val="002D6DFF"/>
    <w:rsid w:val="002D7289"/>
    <w:rsid w:val="002E1103"/>
    <w:rsid w:val="002E3FEA"/>
    <w:rsid w:val="002E562C"/>
    <w:rsid w:val="002E6D58"/>
    <w:rsid w:val="002E7219"/>
    <w:rsid w:val="002F0F27"/>
    <w:rsid w:val="002F3B4D"/>
    <w:rsid w:val="002F7E2F"/>
    <w:rsid w:val="00300ABC"/>
    <w:rsid w:val="00300E07"/>
    <w:rsid w:val="00301299"/>
    <w:rsid w:val="00302A9B"/>
    <w:rsid w:val="00304143"/>
    <w:rsid w:val="00304C05"/>
    <w:rsid w:val="00304C31"/>
    <w:rsid w:val="00307F60"/>
    <w:rsid w:val="00311E10"/>
    <w:rsid w:val="00313A7E"/>
    <w:rsid w:val="00313F3D"/>
    <w:rsid w:val="003155F0"/>
    <w:rsid w:val="003178B8"/>
    <w:rsid w:val="003217DA"/>
    <w:rsid w:val="00321F84"/>
    <w:rsid w:val="00322004"/>
    <w:rsid w:val="00322738"/>
    <w:rsid w:val="003238A9"/>
    <w:rsid w:val="00324170"/>
    <w:rsid w:val="00324B30"/>
    <w:rsid w:val="00325AE7"/>
    <w:rsid w:val="00330230"/>
    <w:rsid w:val="003306EE"/>
    <w:rsid w:val="00330D1B"/>
    <w:rsid w:val="00336D38"/>
    <w:rsid w:val="00337191"/>
    <w:rsid w:val="003402C2"/>
    <w:rsid w:val="00340CD2"/>
    <w:rsid w:val="00341010"/>
    <w:rsid w:val="00341293"/>
    <w:rsid w:val="00341398"/>
    <w:rsid w:val="00342868"/>
    <w:rsid w:val="00342E02"/>
    <w:rsid w:val="00344846"/>
    <w:rsid w:val="00347C7D"/>
    <w:rsid w:val="0035122D"/>
    <w:rsid w:val="00352908"/>
    <w:rsid w:val="00353567"/>
    <w:rsid w:val="003559AE"/>
    <w:rsid w:val="0036041D"/>
    <w:rsid w:val="003608D9"/>
    <w:rsid w:val="00361FA8"/>
    <w:rsid w:val="0036257D"/>
    <w:rsid w:val="00363BCC"/>
    <w:rsid w:val="00364A35"/>
    <w:rsid w:val="00365A7B"/>
    <w:rsid w:val="00366991"/>
    <w:rsid w:val="00366A9F"/>
    <w:rsid w:val="00366EA7"/>
    <w:rsid w:val="003715B6"/>
    <w:rsid w:val="0037170F"/>
    <w:rsid w:val="00372E35"/>
    <w:rsid w:val="00374913"/>
    <w:rsid w:val="00375B29"/>
    <w:rsid w:val="00375D7F"/>
    <w:rsid w:val="00376C08"/>
    <w:rsid w:val="0038015D"/>
    <w:rsid w:val="00381C24"/>
    <w:rsid w:val="003821B5"/>
    <w:rsid w:val="00382898"/>
    <w:rsid w:val="00386E9C"/>
    <w:rsid w:val="003870F6"/>
    <w:rsid w:val="00390675"/>
    <w:rsid w:val="003932AD"/>
    <w:rsid w:val="003943B1"/>
    <w:rsid w:val="003958D0"/>
    <w:rsid w:val="00397A2B"/>
    <w:rsid w:val="003A184D"/>
    <w:rsid w:val="003A31F7"/>
    <w:rsid w:val="003A4045"/>
    <w:rsid w:val="003A7F7C"/>
    <w:rsid w:val="003B48FE"/>
    <w:rsid w:val="003B4C12"/>
    <w:rsid w:val="003C0575"/>
    <w:rsid w:val="003C0E0C"/>
    <w:rsid w:val="003C11E9"/>
    <w:rsid w:val="003C518F"/>
    <w:rsid w:val="003D06E7"/>
    <w:rsid w:val="003D570E"/>
    <w:rsid w:val="003D5BF4"/>
    <w:rsid w:val="003D6DEE"/>
    <w:rsid w:val="003D6E78"/>
    <w:rsid w:val="003D7B20"/>
    <w:rsid w:val="003E20CA"/>
    <w:rsid w:val="003E2677"/>
    <w:rsid w:val="003E43A0"/>
    <w:rsid w:val="003E504B"/>
    <w:rsid w:val="003E5EEE"/>
    <w:rsid w:val="003E6F2F"/>
    <w:rsid w:val="003F1466"/>
    <w:rsid w:val="003F227C"/>
    <w:rsid w:val="003F3F89"/>
    <w:rsid w:val="003F7D52"/>
    <w:rsid w:val="0040056B"/>
    <w:rsid w:val="00400CCA"/>
    <w:rsid w:val="0040143E"/>
    <w:rsid w:val="004023AA"/>
    <w:rsid w:val="00402597"/>
    <w:rsid w:val="004031F0"/>
    <w:rsid w:val="004043F0"/>
    <w:rsid w:val="004047F0"/>
    <w:rsid w:val="00406667"/>
    <w:rsid w:val="00406D3E"/>
    <w:rsid w:val="00411395"/>
    <w:rsid w:val="00411DF1"/>
    <w:rsid w:val="00415FE4"/>
    <w:rsid w:val="00420A5C"/>
    <w:rsid w:val="0042164F"/>
    <w:rsid w:val="00421CE4"/>
    <w:rsid w:val="004236E6"/>
    <w:rsid w:val="00425495"/>
    <w:rsid w:val="004301AF"/>
    <w:rsid w:val="004303C6"/>
    <w:rsid w:val="004313F5"/>
    <w:rsid w:val="00432253"/>
    <w:rsid w:val="00433729"/>
    <w:rsid w:val="00434E1B"/>
    <w:rsid w:val="004352B3"/>
    <w:rsid w:val="004353A1"/>
    <w:rsid w:val="004406B5"/>
    <w:rsid w:val="00440CD9"/>
    <w:rsid w:val="00442E7C"/>
    <w:rsid w:val="00443666"/>
    <w:rsid w:val="00443C5E"/>
    <w:rsid w:val="004469D7"/>
    <w:rsid w:val="00447F32"/>
    <w:rsid w:val="00450095"/>
    <w:rsid w:val="00450B25"/>
    <w:rsid w:val="00453A63"/>
    <w:rsid w:val="00454C90"/>
    <w:rsid w:val="00454E07"/>
    <w:rsid w:val="004568E0"/>
    <w:rsid w:val="0045749B"/>
    <w:rsid w:val="004618D2"/>
    <w:rsid w:val="004647C8"/>
    <w:rsid w:val="00465F1E"/>
    <w:rsid w:val="004667B9"/>
    <w:rsid w:val="00471CB3"/>
    <w:rsid w:val="00474FDC"/>
    <w:rsid w:val="004756D9"/>
    <w:rsid w:val="00476378"/>
    <w:rsid w:val="00477D2D"/>
    <w:rsid w:val="00480E87"/>
    <w:rsid w:val="00481EB5"/>
    <w:rsid w:val="00484F32"/>
    <w:rsid w:val="00485A46"/>
    <w:rsid w:val="00494115"/>
    <w:rsid w:val="004953DE"/>
    <w:rsid w:val="004A2E7E"/>
    <w:rsid w:val="004A39CD"/>
    <w:rsid w:val="004A4EC3"/>
    <w:rsid w:val="004A5015"/>
    <w:rsid w:val="004A5D0A"/>
    <w:rsid w:val="004B0BFB"/>
    <w:rsid w:val="004B0DEF"/>
    <w:rsid w:val="004B5790"/>
    <w:rsid w:val="004B7F01"/>
    <w:rsid w:val="004C04B8"/>
    <w:rsid w:val="004C2245"/>
    <w:rsid w:val="004C2325"/>
    <w:rsid w:val="004C3C93"/>
    <w:rsid w:val="004C5539"/>
    <w:rsid w:val="004C5A5F"/>
    <w:rsid w:val="004D26C4"/>
    <w:rsid w:val="004D5BAD"/>
    <w:rsid w:val="004D653D"/>
    <w:rsid w:val="004D654D"/>
    <w:rsid w:val="004E06E0"/>
    <w:rsid w:val="004E2B41"/>
    <w:rsid w:val="004E4D64"/>
    <w:rsid w:val="004E65FE"/>
    <w:rsid w:val="004E6DCD"/>
    <w:rsid w:val="004F107C"/>
    <w:rsid w:val="004F14EE"/>
    <w:rsid w:val="004F1EEF"/>
    <w:rsid w:val="004F2358"/>
    <w:rsid w:val="004F2EC5"/>
    <w:rsid w:val="004F32FA"/>
    <w:rsid w:val="004F4F2B"/>
    <w:rsid w:val="004F55EE"/>
    <w:rsid w:val="004F7AE0"/>
    <w:rsid w:val="0050108D"/>
    <w:rsid w:val="00502A76"/>
    <w:rsid w:val="005034E3"/>
    <w:rsid w:val="0050379C"/>
    <w:rsid w:val="005066B0"/>
    <w:rsid w:val="005101F0"/>
    <w:rsid w:val="005121C1"/>
    <w:rsid w:val="00512BB2"/>
    <w:rsid w:val="00512FA5"/>
    <w:rsid w:val="005159B0"/>
    <w:rsid w:val="0051740C"/>
    <w:rsid w:val="005216CD"/>
    <w:rsid w:val="00523343"/>
    <w:rsid w:val="00524003"/>
    <w:rsid w:val="00524EE0"/>
    <w:rsid w:val="00526A48"/>
    <w:rsid w:val="00526FA5"/>
    <w:rsid w:val="005330E8"/>
    <w:rsid w:val="00533C53"/>
    <w:rsid w:val="00535819"/>
    <w:rsid w:val="00535AF8"/>
    <w:rsid w:val="00535D5D"/>
    <w:rsid w:val="005365DF"/>
    <w:rsid w:val="005419A1"/>
    <w:rsid w:val="00543658"/>
    <w:rsid w:val="00543FF3"/>
    <w:rsid w:val="00544473"/>
    <w:rsid w:val="00545CD7"/>
    <w:rsid w:val="00545E41"/>
    <w:rsid w:val="005479D6"/>
    <w:rsid w:val="00551805"/>
    <w:rsid w:val="00551CEB"/>
    <w:rsid w:val="0055255A"/>
    <w:rsid w:val="005526FF"/>
    <w:rsid w:val="00553086"/>
    <w:rsid w:val="00553C04"/>
    <w:rsid w:val="00554393"/>
    <w:rsid w:val="005602D8"/>
    <w:rsid w:val="005604B2"/>
    <w:rsid w:val="00563294"/>
    <w:rsid w:val="005655D8"/>
    <w:rsid w:val="0056574C"/>
    <w:rsid w:val="00571456"/>
    <w:rsid w:val="005720C5"/>
    <w:rsid w:val="00572E19"/>
    <w:rsid w:val="005762DC"/>
    <w:rsid w:val="0058060B"/>
    <w:rsid w:val="00581A32"/>
    <w:rsid w:val="00581DDD"/>
    <w:rsid w:val="00583258"/>
    <w:rsid w:val="00583730"/>
    <w:rsid w:val="00584998"/>
    <w:rsid w:val="00584C76"/>
    <w:rsid w:val="00590683"/>
    <w:rsid w:val="00591789"/>
    <w:rsid w:val="00594118"/>
    <w:rsid w:val="00595991"/>
    <w:rsid w:val="005961E7"/>
    <w:rsid w:val="0059653F"/>
    <w:rsid w:val="005A1238"/>
    <w:rsid w:val="005A3B13"/>
    <w:rsid w:val="005A3EAD"/>
    <w:rsid w:val="005A4012"/>
    <w:rsid w:val="005A4783"/>
    <w:rsid w:val="005B1075"/>
    <w:rsid w:val="005B18C9"/>
    <w:rsid w:val="005B2C67"/>
    <w:rsid w:val="005B64DA"/>
    <w:rsid w:val="005B73B7"/>
    <w:rsid w:val="005C227B"/>
    <w:rsid w:val="005C4273"/>
    <w:rsid w:val="005C5102"/>
    <w:rsid w:val="005D05EB"/>
    <w:rsid w:val="005D21E8"/>
    <w:rsid w:val="005D23C4"/>
    <w:rsid w:val="005D2B63"/>
    <w:rsid w:val="005D4722"/>
    <w:rsid w:val="005D5B89"/>
    <w:rsid w:val="005D5DCE"/>
    <w:rsid w:val="005D5DFD"/>
    <w:rsid w:val="005D6F5D"/>
    <w:rsid w:val="005D7550"/>
    <w:rsid w:val="005E004B"/>
    <w:rsid w:val="005E26CA"/>
    <w:rsid w:val="005E2B61"/>
    <w:rsid w:val="005E33FE"/>
    <w:rsid w:val="005F0B42"/>
    <w:rsid w:val="005F1685"/>
    <w:rsid w:val="005F236F"/>
    <w:rsid w:val="005F6595"/>
    <w:rsid w:val="005F7AEB"/>
    <w:rsid w:val="00601FF6"/>
    <w:rsid w:val="00602635"/>
    <w:rsid w:val="00605568"/>
    <w:rsid w:val="00606019"/>
    <w:rsid w:val="0060634D"/>
    <w:rsid w:val="00606A1F"/>
    <w:rsid w:val="006101E0"/>
    <w:rsid w:val="00610394"/>
    <w:rsid w:val="00610A49"/>
    <w:rsid w:val="00611323"/>
    <w:rsid w:val="00611FD7"/>
    <w:rsid w:val="0061254A"/>
    <w:rsid w:val="00617960"/>
    <w:rsid w:val="006214C8"/>
    <w:rsid w:val="0062330C"/>
    <w:rsid w:val="00624085"/>
    <w:rsid w:val="00624ED1"/>
    <w:rsid w:val="00626650"/>
    <w:rsid w:val="00626D35"/>
    <w:rsid w:val="00627BB3"/>
    <w:rsid w:val="00630129"/>
    <w:rsid w:val="00630186"/>
    <w:rsid w:val="00631BC7"/>
    <w:rsid w:val="00633C99"/>
    <w:rsid w:val="00634732"/>
    <w:rsid w:val="00634841"/>
    <w:rsid w:val="00635911"/>
    <w:rsid w:val="00635CF1"/>
    <w:rsid w:val="006454D5"/>
    <w:rsid w:val="006461F1"/>
    <w:rsid w:val="0064643F"/>
    <w:rsid w:val="006469E2"/>
    <w:rsid w:val="00646E1A"/>
    <w:rsid w:val="00647015"/>
    <w:rsid w:val="00650A52"/>
    <w:rsid w:val="00650F3B"/>
    <w:rsid w:val="00653073"/>
    <w:rsid w:val="00653A91"/>
    <w:rsid w:val="00654C84"/>
    <w:rsid w:val="00654E6B"/>
    <w:rsid w:val="00655A21"/>
    <w:rsid w:val="006605E4"/>
    <w:rsid w:val="00661308"/>
    <w:rsid w:val="00661BD8"/>
    <w:rsid w:val="00662D8F"/>
    <w:rsid w:val="006631F1"/>
    <w:rsid w:val="0066509F"/>
    <w:rsid w:val="006670AE"/>
    <w:rsid w:val="00667C03"/>
    <w:rsid w:val="00670256"/>
    <w:rsid w:val="00671AF1"/>
    <w:rsid w:val="006725B3"/>
    <w:rsid w:val="0067374F"/>
    <w:rsid w:val="00675D01"/>
    <w:rsid w:val="0067681A"/>
    <w:rsid w:val="00676DF6"/>
    <w:rsid w:val="00676F09"/>
    <w:rsid w:val="006808A9"/>
    <w:rsid w:val="00686F27"/>
    <w:rsid w:val="00691493"/>
    <w:rsid w:val="0069160D"/>
    <w:rsid w:val="00694D34"/>
    <w:rsid w:val="00695DE2"/>
    <w:rsid w:val="00695F2B"/>
    <w:rsid w:val="00696866"/>
    <w:rsid w:val="00696E32"/>
    <w:rsid w:val="006A4CF2"/>
    <w:rsid w:val="006A511D"/>
    <w:rsid w:val="006A5D0A"/>
    <w:rsid w:val="006A7878"/>
    <w:rsid w:val="006B129C"/>
    <w:rsid w:val="006B2413"/>
    <w:rsid w:val="006B45EF"/>
    <w:rsid w:val="006B4842"/>
    <w:rsid w:val="006B4FD6"/>
    <w:rsid w:val="006B73E1"/>
    <w:rsid w:val="006C069C"/>
    <w:rsid w:val="006C2FC8"/>
    <w:rsid w:val="006C39AA"/>
    <w:rsid w:val="006C409C"/>
    <w:rsid w:val="006C5768"/>
    <w:rsid w:val="006C588E"/>
    <w:rsid w:val="006C5ED9"/>
    <w:rsid w:val="006C605E"/>
    <w:rsid w:val="006C6E4A"/>
    <w:rsid w:val="006D0843"/>
    <w:rsid w:val="006D1AB6"/>
    <w:rsid w:val="006D3145"/>
    <w:rsid w:val="006D3A07"/>
    <w:rsid w:val="006D3A54"/>
    <w:rsid w:val="006D5162"/>
    <w:rsid w:val="006D531C"/>
    <w:rsid w:val="006D5DE9"/>
    <w:rsid w:val="006D631C"/>
    <w:rsid w:val="006D649E"/>
    <w:rsid w:val="006D6D22"/>
    <w:rsid w:val="006E24E5"/>
    <w:rsid w:val="006E3919"/>
    <w:rsid w:val="006E52BB"/>
    <w:rsid w:val="006F0300"/>
    <w:rsid w:val="006F26C6"/>
    <w:rsid w:val="006F2971"/>
    <w:rsid w:val="006F35EE"/>
    <w:rsid w:val="006F497B"/>
    <w:rsid w:val="006F4DA3"/>
    <w:rsid w:val="006F598F"/>
    <w:rsid w:val="006F75E8"/>
    <w:rsid w:val="0070095E"/>
    <w:rsid w:val="007021FF"/>
    <w:rsid w:val="00702C86"/>
    <w:rsid w:val="00704135"/>
    <w:rsid w:val="0070729C"/>
    <w:rsid w:val="007076CB"/>
    <w:rsid w:val="00707AFE"/>
    <w:rsid w:val="00710DA2"/>
    <w:rsid w:val="0071153F"/>
    <w:rsid w:val="00711B8C"/>
    <w:rsid w:val="007142AF"/>
    <w:rsid w:val="00715067"/>
    <w:rsid w:val="00715473"/>
    <w:rsid w:val="00715550"/>
    <w:rsid w:val="00715B21"/>
    <w:rsid w:val="00716564"/>
    <w:rsid w:val="007165E9"/>
    <w:rsid w:val="00722100"/>
    <w:rsid w:val="00723B5F"/>
    <w:rsid w:val="00724374"/>
    <w:rsid w:val="007265DB"/>
    <w:rsid w:val="00730EA0"/>
    <w:rsid w:val="00734096"/>
    <w:rsid w:val="007343F9"/>
    <w:rsid w:val="0073501A"/>
    <w:rsid w:val="00735C19"/>
    <w:rsid w:val="0074287B"/>
    <w:rsid w:val="00743B3E"/>
    <w:rsid w:val="00746612"/>
    <w:rsid w:val="00746E85"/>
    <w:rsid w:val="00746EB8"/>
    <w:rsid w:val="00747F0E"/>
    <w:rsid w:val="00750874"/>
    <w:rsid w:val="00756D2D"/>
    <w:rsid w:val="00757FAA"/>
    <w:rsid w:val="00763A2D"/>
    <w:rsid w:val="00764135"/>
    <w:rsid w:val="0076761D"/>
    <w:rsid w:val="007718A4"/>
    <w:rsid w:val="00772A49"/>
    <w:rsid w:val="00772D50"/>
    <w:rsid w:val="00775739"/>
    <w:rsid w:val="007761E6"/>
    <w:rsid w:val="0078072E"/>
    <w:rsid w:val="007819EF"/>
    <w:rsid w:val="00782435"/>
    <w:rsid w:val="0078329C"/>
    <w:rsid w:val="007855A3"/>
    <w:rsid w:val="007861D0"/>
    <w:rsid w:val="00786783"/>
    <w:rsid w:val="0078780D"/>
    <w:rsid w:val="007901E1"/>
    <w:rsid w:val="007908CD"/>
    <w:rsid w:val="00796560"/>
    <w:rsid w:val="007967DF"/>
    <w:rsid w:val="007A2673"/>
    <w:rsid w:val="007A268E"/>
    <w:rsid w:val="007A2CBF"/>
    <w:rsid w:val="007A33DB"/>
    <w:rsid w:val="007A5691"/>
    <w:rsid w:val="007A74C8"/>
    <w:rsid w:val="007B0717"/>
    <w:rsid w:val="007B29B9"/>
    <w:rsid w:val="007B612E"/>
    <w:rsid w:val="007B6D90"/>
    <w:rsid w:val="007C0673"/>
    <w:rsid w:val="007C1EAC"/>
    <w:rsid w:val="007C4BFD"/>
    <w:rsid w:val="007C6CE2"/>
    <w:rsid w:val="007D12C6"/>
    <w:rsid w:val="007D2BB3"/>
    <w:rsid w:val="007D6243"/>
    <w:rsid w:val="007D6B7A"/>
    <w:rsid w:val="007E15BD"/>
    <w:rsid w:val="007E261C"/>
    <w:rsid w:val="007E60EB"/>
    <w:rsid w:val="007E6C88"/>
    <w:rsid w:val="007F0245"/>
    <w:rsid w:val="007F0448"/>
    <w:rsid w:val="007F2FF1"/>
    <w:rsid w:val="007F36C1"/>
    <w:rsid w:val="007F4492"/>
    <w:rsid w:val="007F4AB7"/>
    <w:rsid w:val="00800A76"/>
    <w:rsid w:val="00802151"/>
    <w:rsid w:val="008029A7"/>
    <w:rsid w:val="00802BE0"/>
    <w:rsid w:val="008050A3"/>
    <w:rsid w:val="00805BBB"/>
    <w:rsid w:val="00807B5D"/>
    <w:rsid w:val="00810AF5"/>
    <w:rsid w:val="00810DE4"/>
    <w:rsid w:val="008110F8"/>
    <w:rsid w:val="0081156A"/>
    <w:rsid w:val="00812809"/>
    <w:rsid w:val="0081372E"/>
    <w:rsid w:val="008146FD"/>
    <w:rsid w:val="00815EDE"/>
    <w:rsid w:val="00821718"/>
    <w:rsid w:val="00824367"/>
    <w:rsid w:val="00824D48"/>
    <w:rsid w:val="00830658"/>
    <w:rsid w:val="00832819"/>
    <w:rsid w:val="00834B71"/>
    <w:rsid w:val="00837D03"/>
    <w:rsid w:val="00840164"/>
    <w:rsid w:val="00840457"/>
    <w:rsid w:val="0084092C"/>
    <w:rsid w:val="00840CC4"/>
    <w:rsid w:val="00840EE3"/>
    <w:rsid w:val="008416F7"/>
    <w:rsid w:val="00841969"/>
    <w:rsid w:val="00841ACE"/>
    <w:rsid w:val="00846B0A"/>
    <w:rsid w:val="0084768A"/>
    <w:rsid w:val="008503DC"/>
    <w:rsid w:val="008504AB"/>
    <w:rsid w:val="008513BC"/>
    <w:rsid w:val="008550F9"/>
    <w:rsid w:val="008606FD"/>
    <w:rsid w:val="008612B1"/>
    <w:rsid w:val="00861309"/>
    <w:rsid w:val="00863078"/>
    <w:rsid w:val="00863AA0"/>
    <w:rsid w:val="00863E9F"/>
    <w:rsid w:val="0086445C"/>
    <w:rsid w:val="00865FAC"/>
    <w:rsid w:val="00866B89"/>
    <w:rsid w:val="00867815"/>
    <w:rsid w:val="008703FC"/>
    <w:rsid w:val="0087135B"/>
    <w:rsid w:val="008727A2"/>
    <w:rsid w:val="008728CD"/>
    <w:rsid w:val="008743A5"/>
    <w:rsid w:val="00875E9B"/>
    <w:rsid w:val="008762D2"/>
    <w:rsid w:val="00877E67"/>
    <w:rsid w:val="00880CCC"/>
    <w:rsid w:val="0088137B"/>
    <w:rsid w:val="00881997"/>
    <w:rsid w:val="00881B5C"/>
    <w:rsid w:val="00881D50"/>
    <w:rsid w:val="00883CED"/>
    <w:rsid w:val="00885E51"/>
    <w:rsid w:val="00886C03"/>
    <w:rsid w:val="00892A0A"/>
    <w:rsid w:val="008955CC"/>
    <w:rsid w:val="008961EE"/>
    <w:rsid w:val="008968B1"/>
    <w:rsid w:val="00897C43"/>
    <w:rsid w:val="008A017A"/>
    <w:rsid w:val="008A0579"/>
    <w:rsid w:val="008A08D7"/>
    <w:rsid w:val="008A096E"/>
    <w:rsid w:val="008A13F9"/>
    <w:rsid w:val="008A507F"/>
    <w:rsid w:val="008A570F"/>
    <w:rsid w:val="008B020E"/>
    <w:rsid w:val="008B0579"/>
    <w:rsid w:val="008B08D3"/>
    <w:rsid w:val="008B1583"/>
    <w:rsid w:val="008B1B19"/>
    <w:rsid w:val="008B2920"/>
    <w:rsid w:val="008B2A3E"/>
    <w:rsid w:val="008B310C"/>
    <w:rsid w:val="008B3495"/>
    <w:rsid w:val="008B3F5F"/>
    <w:rsid w:val="008B40DA"/>
    <w:rsid w:val="008B42A4"/>
    <w:rsid w:val="008B6116"/>
    <w:rsid w:val="008C0217"/>
    <w:rsid w:val="008C0F65"/>
    <w:rsid w:val="008C1C45"/>
    <w:rsid w:val="008C4E7E"/>
    <w:rsid w:val="008D1260"/>
    <w:rsid w:val="008D13F5"/>
    <w:rsid w:val="008D1DF2"/>
    <w:rsid w:val="008D2405"/>
    <w:rsid w:val="008D24F3"/>
    <w:rsid w:val="008D3D9E"/>
    <w:rsid w:val="008D48F7"/>
    <w:rsid w:val="008D65B3"/>
    <w:rsid w:val="008D79C4"/>
    <w:rsid w:val="008D7A13"/>
    <w:rsid w:val="008E1176"/>
    <w:rsid w:val="008E15F8"/>
    <w:rsid w:val="008E218B"/>
    <w:rsid w:val="008E2A3C"/>
    <w:rsid w:val="008E400A"/>
    <w:rsid w:val="008E6788"/>
    <w:rsid w:val="008F25F1"/>
    <w:rsid w:val="008F2F68"/>
    <w:rsid w:val="008F3358"/>
    <w:rsid w:val="008F3D56"/>
    <w:rsid w:val="008F3DDD"/>
    <w:rsid w:val="008F47BB"/>
    <w:rsid w:val="008F74FE"/>
    <w:rsid w:val="008F7B8D"/>
    <w:rsid w:val="009006B8"/>
    <w:rsid w:val="009006BB"/>
    <w:rsid w:val="0090233D"/>
    <w:rsid w:val="00902394"/>
    <w:rsid w:val="00902BA4"/>
    <w:rsid w:val="009046D8"/>
    <w:rsid w:val="009055B8"/>
    <w:rsid w:val="00905DEE"/>
    <w:rsid w:val="00905F2B"/>
    <w:rsid w:val="00906890"/>
    <w:rsid w:val="00907C2C"/>
    <w:rsid w:val="009110F7"/>
    <w:rsid w:val="009120A7"/>
    <w:rsid w:val="009128DB"/>
    <w:rsid w:val="00913FEC"/>
    <w:rsid w:val="009170D7"/>
    <w:rsid w:val="00921123"/>
    <w:rsid w:val="00922572"/>
    <w:rsid w:val="0092294F"/>
    <w:rsid w:val="00922F26"/>
    <w:rsid w:val="00924907"/>
    <w:rsid w:val="00925539"/>
    <w:rsid w:val="009255DD"/>
    <w:rsid w:val="00926116"/>
    <w:rsid w:val="00926AE7"/>
    <w:rsid w:val="00933168"/>
    <w:rsid w:val="00933285"/>
    <w:rsid w:val="00933976"/>
    <w:rsid w:val="00934AAE"/>
    <w:rsid w:val="0093528E"/>
    <w:rsid w:val="00941D11"/>
    <w:rsid w:val="00942285"/>
    <w:rsid w:val="0094414F"/>
    <w:rsid w:val="00944665"/>
    <w:rsid w:val="0094743E"/>
    <w:rsid w:val="00950214"/>
    <w:rsid w:val="00951972"/>
    <w:rsid w:val="009519C8"/>
    <w:rsid w:val="009522AD"/>
    <w:rsid w:val="00953A25"/>
    <w:rsid w:val="00954A85"/>
    <w:rsid w:val="00954E65"/>
    <w:rsid w:val="00955DDC"/>
    <w:rsid w:val="00955EBF"/>
    <w:rsid w:val="00961103"/>
    <w:rsid w:val="00962E44"/>
    <w:rsid w:val="00963013"/>
    <w:rsid w:val="009630A0"/>
    <w:rsid w:val="009634C1"/>
    <w:rsid w:val="00964646"/>
    <w:rsid w:val="009646C2"/>
    <w:rsid w:val="00964CE6"/>
    <w:rsid w:val="009665EA"/>
    <w:rsid w:val="009700F7"/>
    <w:rsid w:val="009707BD"/>
    <w:rsid w:val="0097168E"/>
    <w:rsid w:val="009718A2"/>
    <w:rsid w:val="009753B7"/>
    <w:rsid w:val="00975569"/>
    <w:rsid w:val="00976BED"/>
    <w:rsid w:val="00976F82"/>
    <w:rsid w:val="00981737"/>
    <w:rsid w:val="00981A71"/>
    <w:rsid w:val="00983A7C"/>
    <w:rsid w:val="009863E9"/>
    <w:rsid w:val="009864C9"/>
    <w:rsid w:val="009864DA"/>
    <w:rsid w:val="00987034"/>
    <w:rsid w:val="009926FF"/>
    <w:rsid w:val="009934AD"/>
    <w:rsid w:val="0099583C"/>
    <w:rsid w:val="009A0A06"/>
    <w:rsid w:val="009A3390"/>
    <w:rsid w:val="009A3462"/>
    <w:rsid w:val="009A3EF9"/>
    <w:rsid w:val="009A494A"/>
    <w:rsid w:val="009A5011"/>
    <w:rsid w:val="009A70DF"/>
    <w:rsid w:val="009A7B74"/>
    <w:rsid w:val="009B29DC"/>
    <w:rsid w:val="009B3465"/>
    <w:rsid w:val="009B44F7"/>
    <w:rsid w:val="009B4915"/>
    <w:rsid w:val="009B4A3B"/>
    <w:rsid w:val="009B6532"/>
    <w:rsid w:val="009C04AF"/>
    <w:rsid w:val="009C430C"/>
    <w:rsid w:val="009C4E42"/>
    <w:rsid w:val="009C52C5"/>
    <w:rsid w:val="009C65C5"/>
    <w:rsid w:val="009D034D"/>
    <w:rsid w:val="009D3E92"/>
    <w:rsid w:val="009D742F"/>
    <w:rsid w:val="009D798A"/>
    <w:rsid w:val="009E4685"/>
    <w:rsid w:val="009E49DD"/>
    <w:rsid w:val="009E4EC6"/>
    <w:rsid w:val="009E619D"/>
    <w:rsid w:val="009F1ADE"/>
    <w:rsid w:val="009F1CE0"/>
    <w:rsid w:val="009F2B6C"/>
    <w:rsid w:val="009F40A6"/>
    <w:rsid w:val="009F5358"/>
    <w:rsid w:val="009F5DBB"/>
    <w:rsid w:val="009F6443"/>
    <w:rsid w:val="009F6AA5"/>
    <w:rsid w:val="009F7023"/>
    <w:rsid w:val="00A000F6"/>
    <w:rsid w:val="00A00720"/>
    <w:rsid w:val="00A0201B"/>
    <w:rsid w:val="00A0254A"/>
    <w:rsid w:val="00A03526"/>
    <w:rsid w:val="00A04834"/>
    <w:rsid w:val="00A060B3"/>
    <w:rsid w:val="00A11750"/>
    <w:rsid w:val="00A119F2"/>
    <w:rsid w:val="00A11FF9"/>
    <w:rsid w:val="00A13254"/>
    <w:rsid w:val="00A14135"/>
    <w:rsid w:val="00A14A13"/>
    <w:rsid w:val="00A1504C"/>
    <w:rsid w:val="00A17D7B"/>
    <w:rsid w:val="00A17DFD"/>
    <w:rsid w:val="00A21895"/>
    <w:rsid w:val="00A22385"/>
    <w:rsid w:val="00A2442C"/>
    <w:rsid w:val="00A24BEE"/>
    <w:rsid w:val="00A25997"/>
    <w:rsid w:val="00A2612A"/>
    <w:rsid w:val="00A27C27"/>
    <w:rsid w:val="00A306DE"/>
    <w:rsid w:val="00A33A6B"/>
    <w:rsid w:val="00A33E1B"/>
    <w:rsid w:val="00A34387"/>
    <w:rsid w:val="00A3537B"/>
    <w:rsid w:val="00A35E67"/>
    <w:rsid w:val="00A36579"/>
    <w:rsid w:val="00A371E3"/>
    <w:rsid w:val="00A40AE5"/>
    <w:rsid w:val="00A41366"/>
    <w:rsid w:val="00A441CE"/>
    <w:rsid w:val="00A44437"/>
    <w:rsid w:val="00A4470B"/>
    <w:rsid w:val="00A44CF3"/>
    <w:rsid w:val="00A45CDC"/>
    <w:rsid w:val="00A4674B"/>
    <w:rsid w:val="00A53646"/>
    <w:rsid w:val="00A54051"/>
    <w:rsid w:val="00A54C29"/>
    <w:rsid w:val="00A550F9"/>
    <w:rsid w:val="00A556C0"/>
    <w:rsid w:val="00A55F5D"/>
    <w:rsid w:val="00A56588"/>
    <w:rsid w:val="00A603A9"/>
    <w:rsid w:val="00A61210"/>
    <w:rsid w:val="00A620DF"/>
    <w:rsid w:val="00A632C4"/>
    <w:rsid w:val="00A63FDA"/>
    <w:rsid w:val="00A6467C"/>
    <w:rsid w:val="00A66342"/>
    <w:rsid w:val="00A669AA"/>
    <w:rsid w:val="00A67A49"/>
    <w:rsid w:val="00A72C2C"/>
    <w:rsid w:val="00A737FE"/>
    <w:rsid w:val="00A73A73"/>
    <w:rsid w:val="00A77934"/>
    <w:rsid w:val="00A77F5F"/>
    <w:rsid w:val="00A8039F"/>
    <w:rsid w:val="00A80C11"/>
    <w:rsid w:val="00A81980"/>
    <w:rsid w:val="00A821E7"/>
    <w:rsid w:val="00A83DE0"/>
    <w:rsid w:val="00A84C94"/>
    <w:rsid w:val="00A84EA3"/>
    <w:rsid w:val="00A86506"/>
    <w:rsid w:val="00A8746D"/>
    <w:rsid w:val="00A915EA"/>
    <w:rsid w:val="00A917B3"/>
    <w:rsid w:val="00A94A02"/>
    <w:rsid w:val="00A96804"/>
    <w:rsid w:val="00A9766E"/>
    <w:rsid w:val="00AA2303"/>
    <w:rsid w:val="00AA300A"/>
    <w:rsid w:val="00AA5D3C"/>
    <w:rsid w:val="00AA68DB"/>
    <w:rsid w:val="00AA6E5E"/>
    <w:rsid w:val="00AB039F"/>
    <w:rsid w:val="00AB1912"/>
    <w:rsid w:val="00AB2A74"/>
    <w:rsid w:val="00AB3ABC"/>
    <w:rsid w:val="00AB4B51"/>
    <w:rsid w:val="00AB5C43"/>
    <w:rsid w:val="00AB6354"/>
    <w:rsid w:val="00AB70B2"/>
    <w:rsid w:val="00AC0E6C"/>
    <w:rsid w:val="00AC1673"/>
    <w:rsid w:val="00AC382C"/>
    <w:rsid w:val="00AC4489"/>
    <w:rsid w:val="00AC4E1B"/>
    <w:rsid w:val="00AC5D8F"/>
    <w:rsid w:val="00AC6152"/>
    <w:rsid w:val="00AC6BB4"/>
    <w:rsid w:val="00AC6EDB"/>
    <w:rsid w:val="00AC7B65"/>
    <w:rsid w:val="00AD0700"/>
    <w:rsid w:val="00AD10DE"/>
    <w:rsid w:val="00AD1945"/>
    <w:rsid w:val="00AD64E1"/>
    <w:rsid w:val="00AD7B4D"/>
    <w:rsid w:val="00AE093E"/>
    <w:rsid w:val="00AE67AD"/>
    <w:rsid w:val="00AF38B6"/>
    <w:rsid w:val="00AF4B80"/>
    <w:rsid w:val="00AF4FB3"/>
    <w:rsid w:val="00AF5FE0"/>
    <w:rsid w:val="00AF6976"/>
    <w:rsid w:val="00AF6F9D"/>
    <w:rsid w:val="00AF71C2"/>
    <w:rsid w:val="00B0086E"/>
    <w:rsid w:val="00B018A9"/>
    <w:rsid w:val="00B01901"/>
    <w:rsid w:val="00B03D28"/>
    <w:rsid w:val="00B0405A"/>
    <w:rsid w:val="00B066FC"/>
    <w:rsid w:val="00B07836"/>
    <w:rsid w:val="00B07DF5"/>
    <w:rsid w:val="00B10CC7"/>
    <w:rsid w:val="00B12FBA"/>
    <w:rsid w:val="00B13343"/>
    <w:rsid w:val="00B15D3F"/>
    <w:rsid w:val="00B16B36"/>
    <w:rsid w:val="00B17408"/>
    <w:rsid w:val="00B17B2B"/>
    <w:rsid w:val="00B21812"/>
    <w:rsid w:val="00B21B7A"/>
    <w:rsid w:val="00B23389"/>
    <w:rsid w:val="00B23F53"/>
    <w:rsid w:val="00B26D96"/>
    <w:rsid w:val="00B303B0"/>
    <w:rsid w:val="00B3125C"/>
    <w:rsid w:val="00B33441"/>
    <w:rsid w:val="00B34DB7"/>
    <w:rsid w:val="00B35312"/>
    <w:rsid w:val="00B368BE"/>
    <w:rsid w:val="00B3741C"/>
    <w:rsid w:val="00B40DA4"/>
    <w:rsid w:val="00B41CB8"/>
    <w:rsid w:val="00B43700"/>
    <w:rsid w:val="00B43DC7"/>
    <w:rsid w:val="00B45E24"/>
    <w:rsid w:val="00B50F96"/>
    <w:rsid w:val="00B518D6"/>
    <w:rsid w:val="00B55D92"/>
    <w:rsid w:val="00B55F11"/>
    <w:rsid w:val="00B563B1"/>
    <w:rsid w:val="00B56EF3"/>
    <w:rsid w:val="00B600AB"/>
    <w:rsid w:val="00B62458"/>
    <w:rsid w:val="00B64FD3"/>
    <w:rsid w:val="00B65A80"/>
    <w:rsid w:val="00B67A95"/>
    <w:rsid w:val="00B67DE3"/>
    <w:rsid w:val="00B72139"/>
    <w:rsid w:val="00B721D4"/>
    <w:rsid w:val="00B76750"/>
    <w:rsid w:val="00B778C8"/>
    <w:rsid w:val="00B82EAF"/>
    <w:rsid w:val="00B85937"/>
    <w:rsid w:val="00B85DCC"/>
    <w:rsid w:val="00B86666"/>
    <w:rsid w:val="00B91AEE"/>
    <w:rsid w:val="00B94B75"/>
    <w:rsid w:val="00B94FDA"/>
    <w:rsid w:val="00B95B06"/>
    <w:rsid w:val="00B96F93"/>
    <w:rsid w:val="00BA30C6"/>
    <w:rsid w:val="00BA3587"/>
    <w:rsid w:val="00BA40F5"/>
    <w:rsid w:val="00BA4443"/>
    <w:rsid w:val="00BA66ED"/>
    <w:rsid w:val="00BA7C1A"/>
    <w:rsid w:val="00BB350A"/>
    <w:rsid w:val="00BB36EA"/>
    <w:rsid w:val="00BB47CE"/>
    <w:rsid w:val="00BB56A1"/>
    <w:rsid w:val="00BB713E"/>
    <w:rsid w:val="00BB7B64"/>
    <w:rsid w:val="00BC154C"/>
    <w:rsid w:val="00BC24CE"/>
    <w:rsid w:val="00BC27AC"/>
    <w:rsid w:val="00BD33EE"/>
    <w:rsid w:val="00BD464A"/>
    <w:rsid w:val="00BD5969"/>
    <w:rsid w:val="00BE0B0E"/>
    <w:rsid w:val="00BE0BEC"/>
    <w:rsid w:val="00BE2070"/>
    <w:rsid w:val="00BE25CA"/>
    <w:rsid w:val="00BE34F5"/>
    <w:rsid w:val="00BE3553"/>
    <w:rsid w:val="00BE5E89"/>
    <w:rsid w:val="00BE6ACB"/>
    <w:rsid w:val="00BE6F31"/>
    <w:rsid w:val="00BF44FA"/>
    <w:rsid w:val="00BF74D5"/>
    <w:rsid w:val="00C00332"/>
    <w:rsid w:val="00C03A1D"/>
    <w:rsid w:val="00C044E5"/>
    <w:rsid w:val="00C05921"/>
    <w:rsid w:val="00C05ACA"/>
    <w:rsid w:val="00C06B59"/>
    <w:rsid w:val="00C17E6C"/>
    <w:rsid w:val="00C22C82"/>
    <w:rsid w:val="00C26331"/>
    <w:rsid w:val="00C34F86"/>
    <w:rsid w:val="00C35475"/>
    <w:rsid w:val="00C35552"/>
    <w:rsid w:val="00C37B7C"/>
    <w:rsid w:val="00C41119"/>
    <w:rsid w:val="00C414E3"/>
    <w:rsid w:val="00C43B5F"/>
    <w:rsid w:val="00C46BB3"/>
    <w:rsid w:val="00C50903"/>
    <w:rsid w:val="00C52543"/>
    <w:rsid w:val="00C528FB"/>
    <w:rsid w:val="00C53D88"/>
    <w:rsid w:val="00C565A0"/>
    <w:rsid w:val="00C60F0C"/>
    <w:rsid w:val="00C628C2"/>
    <w:rsid w:val="00C62B89"/>
    <w:rsid w:val="00C638C4"/>
    <w:rsid w:val="00C63C2A"/>
    <w:rsid w:val="00C6699B"/>
    <w:rsid w:val="00C66A93"/>
    <w:rsid w:val="00C66B34"/>
    <w:rsid w:val="00C674B4"/>
    <w:rsid w:val="00C67FA6"/>
    <w:rsid w:val="00C70834"/>
    <w:rsid w:val="00C7408C"/>
    <w:rsid w:val="00C76DE0"/>
    <w:rsid w:val="00C805C9"/>
    <w:rsid w:val="00C81402"/>
    <w:rsid w:val="00C81A1B"/>
    <w:rsid w:val="00C8255D"/>
    <w:rsid w:val="00C8347C"/>
    <w:rsid w:val="00C851F3"/>
    <w:rsid w:val="00C91866"/>
    <w:rsid w:val="00C925D0"/>
    <w:rsid w:val="00C9602C"/>
    <w:rsid w:val="00C97EDE"/>
    <w:rsid w:val="00CA0EB2"/>
    <w:rsid w:val="00CA103C"/>
    <w:rsid w:val="00CA1679"/>
    <w:rsid w:val="00CA17C2"/>
    <w:rsid w:val="00CA2C38"/>
    <w:rsid w:val="00CA3008"/>
    <w:rsid w:val="00CB054F"/>
    <w:rsid w:val="00CB10BC"/>
    <w:rsid w:val="00CB4590"/>
    <w:rsid w:val="00CB7464"/>
    <w:rsid w:val="00CB7BE2"/>
    <w:rsid w:val="00CC3EE4"/>
    <w:rsid w:val="00CC42C8"/>
    <w:rsid w:val="00CC470A"/>
    <w:rsid w:val="00CC4E1D"/>
    <w:rsid w:val="00CC539B"/>
    <w:rsid w:val="00CC624B"/>
    <w:rsid w:val="00CC7973"/>
    <w:rsid w:val="00CD027B"/>
    <w:rsid w:val="00CD0411"/>
    <w:rsid w:val="00CD0E34"/>
    <w:rsid w:val="00CD258A"/>
    <w:rsid w:val="00CD26C9"/>
    <w:rsid w:val="00CD7E78"/>
    <w:rsid w:val="00CE0376"/>
    <w:rsid w:val="00CE2347"/>
    <w:rsid w:val="00CE2A04"/>
    <w:rsid w:val="00CE3FF8"/>
    <w:rsid w:val="00CE5E8B"/>
    <w:rsid w:val="00CE7245"/>
    <w:rsid w:val="00CF05EF"/>
    <w:rsid w:val="00CF12AF"/>
    <w:rsid w:val="00CF36D7"/>
    <w:rsid w:val="00CF4FED"/>
    <w:rsid w:val="00CF6263"/>
    <w:rsid w:val="00D011A9"/>
    <w:rsid w:val="00D041CE"/>
    <w:rsid w:val="00D04831"/>
    <w:rsid w:val="00D05347"/>
    <w:rsid w:val="00D068BB"/>
    <w:rsid w:val="00D06992"/>
    <w:rsid w:val="00D10427"/>
    <w:rsid w:val="00D10F9E"/>
    <w:rsid w:val="00D16378"/>
    <w:rsid w:val="00D21720"/>
    <w:rsid w:val="00D22395"/>
    <w:rsid w:val="00D22F57"/>
    <w:rsid w:val="00D2333E"/>
    <w:rsid w:val="00D23BDC"/>
    <w:rsid w:val="00D2495A"/>
    <w:rsid w:val="00D26D26"/>
    <w:rsid w:val="00D27FF6"/>
    <w:rsid w:val="00D30C4E"/>
    <w:rsid w:val="00D31706"/>
    <w:rsid w:val="00D31807"/>
    <w:rsid w:val="00D35AD7"/>
    <w:rsid w:val="00D35F90"/>
    <w:rsid w:val="00D363C0"/>
    <w:rsid w:val="00D413A8"/>
    <w:rsid w:val="00D41878"/>
    <w:rsid w:val="00D419F7"/>
    <w:rsid w:val="00D424CA"/>
    <w:rsid w:val="00D43B27"/>
    <w:rsid w:val="00D4509B"/>
    <w:rsid w:val="00D4675E"/>
    <w:rsid w:val="00D46925"/>
    <w:rsid w:val="00D46D93"/>
    <w:rsid w:val="00D47790"/>
    <w:rsid w:val="00D501E8"/>
    <w:rsid w:val="00D5028C"/>
    <w:rsid w:val="00D51727"/>
    <w:rsid w:val="00D53608"/>
    <w:rsid w:val="00D572F9"/>
    <w:rsid w:val="00D60210"/>
    <w:rsid w:val="00D60451"/>
    <w:rsid w:val="00D6245E"/>
    <w:rsid w:val="00D62653"/>
    <w:rsid w:val="00D63724"/>
    <w:rsid w:val="00D641CE"/>
    <w:rsid w:val="00D678CB"/>
    <w:rsid w:val="00D701DA"/>
    <w:rsid w:val="00D7128C"/>
    <w:rsid w:val="00D7175E"/>
    <w:rsid w:val="00D723C6"/>
    <w:rsid w:val="00D73E55"/>
    <w:rsid w:val="00D846DA"/>
    <w:rsid w:val="00D849BD"/>
    <w:rsid w:val="00D84B20"/>
    <w:rsid w:val="00D84F55"/>
    <w:rsid w:val="00D859E5"/>
    <w:rsid w:val="00D86859"/>
    <w:rsid w:val="00D90082"/>
    <w:rsid w:val="00D90138"/>
    <w:rsid w:val="00D93EA8"/>
    <w:rsid w:val="00D97741"/>
    <w:rsid w:val="00DA07D5"/>
    <w:rsid w:val="00DA143E"/>
    <w:rsid w:val="00DA26B8"/>
    <w:rsid w:val="00DA369C"/>
    <w:rsid w:val="00DA3C05"/>
    <w:rsid w:val="00DA4E9B"/>
    <w:rsid w:val="00DB0BFD"/>
    <w:rsid w:val="00DB0F13"/>
    <w:rsid w:val="00DB3311"/>
    <w:rsid w:val="00DB53CD"/>
    <w:rsid w:val="00DB7115"/>
    <w:rsid w:val="00DC14D4"/>
    <w:rsid w:val="00DC189B"/>
    <w:rsid w:val="00DC2256"/>
    <w:rsid w:val="00DC24DA"/>
    <w:rsid w:val="00DC56C8"/>
    <w:rsid w:val="00DD0B22"/>
    <w:rsid w:val="00DD1875"/>
    <w:rsid w:val="00DD4E25"/>
    <w:rsid w:val="00DD6301"/>
    <w:rsid w:val="00DE00A3"/>
    <w:rsid w:val="00DE097B"/>
    <w:rsid w:val="00DE0CF6"/>
    <w:rsid w:val="00DE26DC"/>
    <w:rsid w:val="00DF11EB"/>
    <w:rsid w:val="00DF23A7"/>
    <w:rsid w:val="00DF254A"/>
    <w:rsid w:val="00DF6495"/>
    <w:rsid w:val="00DF6534"/>
    <w:rsid w:val="00DF78B9"/>
    <w:rsid w:val="00E001CB"/>
    <w:rsid w:val="00E00A7E"/>
    <w:rsid w:val="00E00C6B"/>
    <w:rsid w:val="00E00EF8"/>
    <w:rsid w:val="00E01CD8"/>
    <w:rsid w:val="00E027C0"/>
    <w:rsid w:val="00E02DC6"/>
    <w:rsid w:val="00E05000"/>
    <w:rsid w:val="00E05272"/>
    <w:rsid w:val="00E05377"/>
    <w:rsid w:val="00E060DC"/>
    <w:rsid w:val="00E0677C"/>
    <w:rsid w:val="00E06AA4"/>
    <w:rsid w:val="00E10A2E"/>
    <w:rsid w:val="00E118AB"/>
    <w:rsid w:val="00E12A55"/>
    <w:rsid w:val="00E12CF8"/>
    <w:rsid w:val="00E14177"/>
    <w:rsid w:val="00E14952"/>
    <w:rsid w:val="00E1495E"/>
    <w:rsid w:val="00E14D24"/>
    <w:rsid w:val="00E17DB7"/>
    <w:rsid w:val="00E202E7"/>
    <w:rsid w:val="00E2232C"/>
    <w:rsid w:val="00E23222"/>
    <w:rsid w:val="00E2520C"/>
    <w:rsid w:val="00E25348"/>
    <w:rsid w:val="00E26EDC"/>
    <w:rsid w:val="00E31ACE"/>
    <w:rsid w:val="00E31C39"/>
    <w:rsid w:val="00E335B7"/>
    <w:rsid w:val="00E336FB"/>
    <w:rsid w:val="00E344D8"/>
    <w:rsid w:val="00E362BD"/>
    <w:rsid w:val="00E3781A"/>
    <w:rsid w:val="00E415D2"/>
    <w:rsid w:val="00E42838"/>
    <w:rsid w:val="00E43173"/>
    <w:rsid w:val="00E44217"/>
    <w:rsid w:val="00E44A8D"/>
    <w:rsid w:val="00E45089"/>
    <w:rsid w:val="00E46274"/>
    <w:rsid w:val="00E46F34"/>
    <w:rsid w:val="00E50127"/>
    <w:rsid w:val="00E504D2"/>
    <w:rsid w:val="00E51208"/>
    <w:rsid w:val="00E518B4"/>
    <w:rsid w:val="00E52776"/>
    <w:rsid w:val="00E542F4"/>
    <w:rsid w:val="00E54F0D"/>
    <w:rsid w:val="00E61309"/>
    <w:rsid w:val="00E61906"/>
    <w:rsid w:val="00E62673"/>
    <w:rsid w:val="00E66B74"/>
    <w:rsid w:val="00E66D28"/>
    <w:rsid w:val="00E6752E"/>
    <w:rsid w:val="00E70B96"/>
    <w:rsid w:val="00E72939"/>
    <w:rsid w:val="00E732FA"/>
    <w:rsid w:val="00E73F76"/>
    <w:rsid w:val="00E7487C"/>
    <w:rsid w:val="00E75AF3"/>
    <w:rsid w:val="00E767C9"/>
    <w:rsid w:val="00E77662"/>
    <w:rsid w:val="00E86149"/>
    <w:rsid w:val="00E9076B"/>
    <w:rsid w:val="00E94B84"/>
    <w:rsid w:val="00E94D25"/>
    <w:rsid w:val="00E94EB9"/>
    <w:rsid w:val="00E94F28"/>
    <w:rsid w:val="00E95D55"/>
    <w:rsid w:val="00E97B74"/>
    <w:rsid w:val="00E97C4F"/>
    <w:rsid w:val="00EA0004"/>
    <w:rsid w:val="00EA06E5"/>
    <w:rsid w:val="00EA0B8C"/>
    <w:rsid w:val="00EA1E89"/>
    <w:rsid w:val="00EA23DB"/>
    <w:rsid w:val="00EA31D8"/>
    <w:rsid w:val="00EA42CE"/>
    <w:rsid w:val="00EA5579"/>
    <w:rsid w:val="00EA5DEB"/>
    <w:rsid w:val="00EB3A05"/>
    <w:rsid w:val="00EB4005"/>
    <w:rsid w:val="00EB4400"/>
    <w:rsid w:val="00EB4B97"/>
    <w:rsid w:val="00EB5171"/>
    <w:rsid w:val="00EB5C3A"/>
    <w:rsid w:val="00EB5CAF"/>
    <w:rsid w:val="00EC0B31"/>
    <w:rsid w:val="00EC2E6C"/>
    <w:rsid w:val="00EC3FC7"/>
    <w:rsid w:val="00EC5302"/>
    <w:rsid w:val="00EC69C1"/>
    <w:rsid w:val="00EC77CC"/>
    <w:rsid w:val="00ED1848"/>
    <w:rsid w:val="00ED1BDC"/>
    <w:rsid w:val="00ED2C8B"/>
    <w:rsid w:val="00ED4838"/>
    <w:rsid w:val="00ED5AED"/>
    <w:rsid w:val="00ED5BD9"/>
    <w:rsid w:val="00EE1D4F"/>
    <w:rsid w:val="00EE4157"/>
    <w:rsid w:val="00EE42DE"/>
    <w:rsid w:val="00EE4A73"/>
    <w:rsid w:val="00EE59FF"/>
    <w:rsid w:val="00EE5B17"/>
    <w:rsid w:val="00EE60D0"/>
    <w:rsid w:val="00EE7CA6"/>
    <w:rsid w:val="00EF022C"/>
    <w:rsid w:val="00EF11E5"/>
    <w:rsid w:val="00EF1360"/>
    <w:rsid w:val="00EF1843"/>
    <w:rsid w:val="00EF3220"/>
    <w:rsid w:val="00EF5FC7"/>
    <w:rsid w:val="00EF7198"/>
    <w:rsid w:val="00F00E71"/>
    <w:rsid w:val="00F0117A"/>
    <w:rsid w:val="00F019EF"/>
    <w:rsid w:val="00F0271F"/>
    <w:rsid w:val="00F05E7C"/>
    <w:rsid w:val="00F06E9B"/>
    <w:rsid w:val="00F103CE"/>
    <w:rsid w:val="00F115F3"/>
    <w:rsid w:val="00F11B87"/>
    <w:rsid w:val="00F12082"/>
    <w:rsid w:val="00F21474"/>
    <w:rsid w:val="00F22A89"/>
    <w:rsid w:val="00F237CE"/>
    <w:rsid w:val="00F25D52"/>
    <w:rsid w:val="00F25E50"/>
    <w:rsid w:val="00F26074"/>
    <w:rsid w:val="00F31613"/>
    <w:rsid w:val="00F31BF3"/>
    <w:rsid w:val="00F32246"/>
    <w:rsid w:val="00F336CD"/>
    <w:rsid w:val="00F34FCE"/>
    <w:rsid w:val="00F3516A"/>
    <w:rsid w:val="00F41883"/>
    <w:rsid w:val="00F445C6"/>
    <w:rsid w:val="00F4484F"/>
    <w:rsid w:val="00F44C80"/>
    <w:rsid w:val="00F471C7"/>
    <w:rsid w:val="00F47C22"/>
    <w:rsid w:val="00F51CAE"/>
    <w:rsid w:val="00F526D6"/>
    <w:rsid w:val="00F5322C"/>
    <w:rsid w:val="00F53FC7"/>
    <w:rsid w:val="00F57559"/>
    <w:rsid w:val="00F57F82"/>
    <w:rsid w:val="00F60738"/>
    <w:rsid w:val="00F63F4D"/>
    <w:rsid w:val="00F666FE"/>
    <w:rsid w:val="00F67A0B"/>
    <w:rsid w:val="00F702DF"/>
    <w:rsid w:val="00F7135C"/>
    <w:rsid w:val="00F7142A"/>
    <w:rsid w:val="00F7180E"/>
    <w:rsid w:val="00F73F6A"/>
    <w:rsid w:val="00F743A5"/>
    <w:rsid w:val="00F770F9"/>
    <w:rsid w:val="00F773A2"/>
    <w:rsid w:val="00F8068C"/>
    <w:rsid w:val="00F80BD6"/>
    <w:rsid w:val="00F8365C"/>
    <w:rsid w:val="00F83B05"/>
    <w:rsid w:val="00F85598"/>
    <w:rsid w:val="00F86B16"/>
    <w:rsid w:val="00F929CE"/>
    <w:rsid w:val="00F93BD3"/>
    <w:rsid w:val="00F93F6E"/>
    <w:rsid w:val="00F94155"/>
    <w:rsid w:val="00F95232"/>
    <w:rsid w:val="00F96571"/>
    <w:rsid w:val="00F96ABC"/>
    <w:rsid w:val="00F97B1E"/>
    <w:rsid w:val="00F97FDD"/>
    <w:rsid w:val="00FA2C10"/>
    <w:rsid w:val="00FA43F0"/>
    <w:rsid w:val="00FA469C"/>
    <w:rsid w:val="00FA4B57"/>
    <w:rsid w:val="00FA5355"/>
    <w:rsid w:val="00FA57B9"/>
    <w:rsid w:val="00FA7110"/>
    <w:rsid w:val="00FA7C80"/>
    <w:rsid w:val="00FB0CD9"/>
    <w:rsid w:val="00FB14DC"/>
    <w:rsid w:val="00FB2247"/>
    <w:rsid w:val="00FB4CC9"/>
    <w:rsid w:val="00FB5902"/>
    <w:rsid w:val="00FB5C0B"/>
    <w:rsid w:val="00FB6B02"/>
    <w:rsid w:val="00FB701C"/>
    <w:rsid w:val="00FB72AB"/>
    <w:rsid w:val="00FB7AA6"/>
    <w:rsid w:val="00FC1598"/>
    <w:rsid w:val="00FC6FD3"/>
    <w:rsid w:val="00FC76CB"/>
    <w:rsid w:val="00FD08CB"/>
    <w:rsid w:val="00FD2EF7"/>
    <w:rsid w:val="00FD32F9"/>
    <w:rsid w:val="00FD340B"/>
    <w:rsid w:val="00FD4AD6"/>
    <w:rsid w:val="00FD5C29"/>
    <w:rsid w:val="00FD6565"/>
    <w:rsid w:val="00FD6AAE"/>
    <w:rsid w:val="00FD766B"/>
    <w:rsid w:val="00FE296F"/>
    <w:rsid w:val="00FE6DBB"/>
    <w:rsid w:val="00FF044C"/>
    <w:rsid w:val="00FF0858"/>
    <w:rsid w:val="00FF1E5D"/>
    <w:rsid w:val="00FF2303"/>
    <w:rsid w:val="00FF2B7D"/>
    <w:rsid w:val="00FF3FB7"/>
    <w:rsid w:val="00FF637E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3A05E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qFormat/>
    <w:rsid w:val="00E12CF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F93BD3"/>
    <w:rPr>
      <w:lang w:val="es-ES" w:eastAsia="es-ES" w:bidi="ar-SA"/>
    </w:rPr>
  </w:style>
  <w:style w:type="character" w:customStyle="1" w:styleId="SingleTxtGCar">
    <w:name w:val="_ Single Txt_G Car"/>
    <w:locked/>
    <w:rsid w:val="00107064"/>
    <w:rPr>
      <w:lang w:val="es-ES" w:eastAsia="es-ES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qFormat/>
    <w:rsid w:val="005365DF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GB" w:eastAsia="zh-CN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semiHidden/>
    <w:rsid w:val="00EA31D8"/>
    <w:rPr>
      <w:i/>
      <w:iCs/>
    </w:rPr>
  </w:style>
  <w:style w:type="character" w:styleId="CdigoHTML">
    <w:name w:val="HTML Code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qFormat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semiHidden/>
    <w:rsid w:val="00EA31D8"/>
    <w:rPr>
      <w:color w:val="0000FF"/>
      <w:u w:val="single"/>
    </w:rPr>
  </w:style>
  <w:style w:type="character" w:styleId="Hipervnculovisitado">
    <w:name w:val="FollowedHyperlink"/>
    <w:semiHidden/>
    <w:rsid w:val="00EA31D8"/>
    <w:rPr>
      <w:color w:val="800080"/>
      <w:u w:val="singl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rsid w:val="00EA31D8"/>
    <w:rPr>
      <w:b/>
      <w:sz w:val="18"/>
    </w:rPr>
  </w:style>
  <w:style w:type="character" w:styleId="Refdenotaalfinal">
    <w:name w:val="endnote reference"/>
    <w:aliases w:val="1_G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uiPriority w:val="22"/>
    <w:qFormat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rsid w:val="0065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50F3B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8606FD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606F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rsid w:val="008606FD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606FD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8606FD"/>
    <w:rPr>
      <w:b/>
      <w:bCs/>
      <w:sz w:val="24"/>
      <w:szCs w:val="24"/>
      <w:lang w:val="es-ES" w:eastAsia="es-ES"/>
    </w:rPr>
  </w:style>
  <w:style w:type="paragraph" w:styleId="Revisin">
    <w:name w:val="Revision"/>
    <w:hidden/>
    <w:uiPriority w:val="71"/>
    <w:semiHidden/>
    <w:rsid w:val="00EE4A7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95DE2"/>
    <w:pPr>
      <w:ind w:left="720"/>
      <w:contextualSpacing/>
    </w:pPr>
  </w:style>
  <w:style w:type="paragraph" w:customStyle="1" w:styleId="Default">
    <w:name w:val="Default"/>
    <w:rsid w:val="007F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F23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qFormat/>
    <w:rsid w:val="00E12CF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F93BD3"/>
    <w:rPr>
      <w:lang w:val="es-ES" w:eastAsia="es-ES" w:bidi="ar-SA"/>
    </w:rPr>
  </w:style>
  <w:style w:type="character" w:customStyle="1" w:styleId="SingleTxtGCar">
    <w:name w:val="_ Single Txt_G Car"/>
    <w:locked/>
    <w:rsid w:val="00107064"/>
    <w:rPr>
      <w:lang w:val="es-ES" w:eastAsia="es-ES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qFormat/>
    <w:rsid w:val="005365DF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GB" w:eastAsia="zh-CN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semiHidden/>
    <w:rsid w:val="00EA31D8"/>
    <w:rPr>
      <w:i/>
      <w:iCs/>
    </w:rPr>
  </w:style>
  <w:style w:type="character" w:styleId="CdigoHTML">
    <w:name w:val="HTML Code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qFormat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semiHidden/>
    <w:rsid w:val="00EA31D8"/>
    <w:rPr>
      <w:color w:val="0000FF"/>
      <w:u w:val="single"/>
    </w:rPr>
  </w:style>
  <w:style w:type="character" w:styleId="Hipervnculovisitado">
    <w:name w:val="FollowedHyperlink"/>
    <w:semiHidden/>
    <w:rsid w:val="00EA31D8"/>
    <w:rPr>
      <w:color w:val="800080"/>
      <w:u w:val="singl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rsid w:val="00EA31D8"/>
    <w:rPr>
      <w:b/>
      <w:sz w:val="18"/>
    </w:rPr>
  </w:style>
  <w:style w:type="character" w:styleId="Refdenotaalfinal">
    <w:name w:val="endnote reference"/>
    <w:aliases w:val="1_G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uiPriority w:val="22"/>
    <w:qFormat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rsid w:val="0065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50F3B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8606FD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606F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rsid w:val="008606FD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606FD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8606FD"/>
    <w:rPr>
      <w:b/>
      <w:bCs/>
      <w:sz w:val="24"/>
      <w:szCs w:val="24"/>
      <w:lang w:val="es-ES" w:eastAsia="es-ES"/>
    </w:rPr>
  </w:style>
  <w:style w:type="paragraph" w:styleId="Revisin">
    <w:name w:val="Revision"/>
    <w:hidden/>
    <w:uiPriority w:val="71"/>
    <w:semiHidden/>
    <w:rsid w:val="00EE4A7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95DE2"/>
    <w:pPr>
      <w:ind w:left="720"/>
      <w:contextualSpacing/>
    </w:pPr>
  </w:style>
  <w:style w:type="paragraph" w:customStyle="1" w:styleId="Default">
    <w:name w:val="Default"/>
    <w:rsid w:val="007F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F2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DAD-6D02-402A-8FAE-91A34393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4315</Words>
  <Characters>23737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CERD/C/ARG/CO/R.21-23</vt:lpstr>
      <vt:lpstr>CERD/C/XXX/CO/R.Y</vt:lpstr>
    </vt:vector>
  </TitlesOfParts>
  <Company>OHCHR</Company>
  <LinksUpToDate>false</LinksUpToDate>
  <CharactersWithSpaces>27997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CERD/C/ARG/CO/21-23</dc:title>
  <dc:subject>CERD/C/ARG/CO/21-23</dc:subject>
  <dc:creator>Maruchi Zeballos</dc:creator>
  <cp:keywords/>
  <dc:description/>
  <cp:lastModifiedBy>Maruchi Zeballos</cp:lastModifiedBy>
  <cp:revision>3</cp:revision>
  <cp:lastPrinted>2017-01-18T08:38:00Z</cp:lastPrinted>
  <dcterms:created xsi:type="dcterms:W3CDTF">2017-01-18T08:38:00Z</dcterms:created>
  <dcterms:modified xsi:type="dcterms:W3CDTF">2017-01-18T08:38:00Z</dcterms:modified>
</cp:coreProperties>
</file>