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49372E" w:rsidRPr="00635870" w:rsidTr="007C5710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49372E" w:rsidRPr="00635870" w:rsidRDefault="0049372E" w:rsidP="007C5710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49372E" w:rsidRPr="00A360A2" w:rsidRDefault="0049372E" w:rsidP="007C5710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49372E" w:rsidRPr="00A360A2" w:rsidRDefault="0049372E" w:rsidP="007C5710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r w:rsidR="00782489">
              <w:fldChar w:fldCharType="begin"/>
            </w:r>
            <w:r w:rsidR="00782489">
              <w:instrText xml:space="preserve"> FILLIN  "Введите символ после Е/"  \* MERGEFORMAT </w:instrText>
            </w:r>
            <w:r w:rsidR="00782489">
              <w:fldChar w:fldCharType="separate"/>
            </w:r>
            <w:r w:rsidR="00B138BC">
              <w:t>C.12/GBR/CO/6</w:t>
            </w:r>
            <w:r w:rsidR="00782489">
              <w:fldChar w:fldCharType="end"/>
            </w:r>
            <w:r>
              <w:t xml:space="preserve">                  </w:t>
            </w:r>
          </w:p>
        </w:tc>
      </w:tr>
      <w:tr w:rsidR="0049372E" w:rsidRPr="00635870" w:rsidTr="007C571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635870" w:rsidRDefault="0049372E" w:rsidP="007C571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C8DD46" wp14:editId="24DD9ABA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49372E" w:rsidRPr="003B1275" w:rsidRDefault="0049372E" w:rsidP="007C5710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F827BA" w:rsidRDefault="0049372E" w:rsidP="007C5710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1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782489">
              <w:fldChar w:fldCharType="separate"/>
            </w:r>
            <w:r w:rsidRPr="00F827BA">
              <w:fldChar w:fldCharType="end"/>
            </w:r>
            <w:bookmarkEnd w:id="1"/>
          </w:p>
          <w:p w:rsidR="0049372E" w:rsidRPr="00F827BA" w:rsidRDefault="0049372E" w:rsidP="007C5710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separate"/>
            </w:r>
            <w:r w:rsidR="00B138BC">
              <w:rPr>
                <w:lang w:val="en-US"/>
              </w:rPr>
              <w:t>14 July 2016</w:t>
            </w:r>
            <w:r w:rsidRPr="00F827BA">
              <w:rPr>
                <w:lang w:val="en-US"/>
              </w:rPr>
              <w:fldChar w:fldCharType="end"/>
            </w:r>
          </w:p>
          <w:p w:rsidR="0049372E" w:rsidRPr="00F827BA" w:rsidRDefault="0049372E" w:rsidP="007C5710">
            <w:r w:rsidRPr="00F827BA">
              <w:rPr>
                <w:lang w:val="en-US"/>
              </w:rPr>
              <w:t>Russian</w:t>
            </w:r>
          </w:p>
          <w:p w:rsidR="0049372E" w:rsidRPr="00F827BA" w:rsidRDefault="0049372E" w:rsidP="007C5710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2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782489">
              <w:fldChar w:fldCharType="separate"/>
            </w:r>
            <w:r w:rsidRPr="00F827BA">
              <w:fldChar w:fldCharType="end"/>
            </w:r>
            <w:bookmarkEnd w:id="2"/>
          </w:p>
          <w:p w:rsidR="0049372E" w:rsidRPr="00635870" w:rsidRDefault="0049372E" w:rsidP="007C5710"/>
        </w:tc>
      </w:tr>
    </w:tbl>
    <w:p w:rsidR="00B138BC" w:rsidRPr="00B969DC" w:rsidRDefault="00B138BC" w:rsidP="00B969DC">
      <w:pPr>
        <w:spacing w:before="120"/>
        <w:rPr>
          <w:b/>
          <w:sz w:val="24"/>
          <w:szCs w:val="24"/>
        </w:rPr>
      </w:pPr>
      <w:r w:rsidRPr="00B969DC">
        <w:rPr>
          <w:b/>
          <w:sz w:val="24"/>
          <w:szCs w:val="24"/>
        </w:rPr>
        <w:t xml:space="preserve">Комитет по экономическим, социальным </w:t>
      </w:r>
      <w:r w:rsidR="00B969DC" w:rsidRPr="00B969DC">
        <w:rPr>
          <w:b/>
          <w:sz w:val="24"/>
          <w:szCs w:val="24"/>
        </w:rPr>
        <w:br/>
      </w:r>
      <w:r w:rsidRPr="00B969DC">
        <w:rPr>
          <w:b/>
          <w:sz w:val="24"/>
          <w:szCs w:val="24"/>
        </w:rPr>
        <w:t>и культурным правам</w:t>
      </w:r>
    </w:p>
    <w:p w:rsidR="00B138BC" w:rsidRPr="00B138BC" w:rsidRDefault="00B138BC" w:rsidP="00B969DC">
      <w:pPr>
        <w:pStyle w:val="HChGR"/>
      </w:pPr>
      <w:r w:rsidRPr="00B138BC">
        <w:tab/>
      </w:r>
      <w:r w:rsidRPr="00B138BC">
        <w:tab/>
        <w:t>Заключительные замечания по шестому периодическому докладу Соединенного Королевства Великобритании и Северной Ирландии</w:t>
      </w:r>
      <w:r w:rsidRPr="00B969DC">
        <w:rPr>
          <w:b w:val="0"/>
          <w:sz w:val="20"/>
        </w:rPr>
        <w:footnoteReference w:customMarkFollows="1" w:id="1"/>
        <w:t>*</w:t>
      </w:r>
      <w:r w:rsidRPr="00B138BC">
        <w:t xml:space="preserve"> </w:t>
      </w:r>
    </w:p>
    <w:p w:rsidR="00B138BC" w:rsidRPr="00B138BC" w:rsidRDefault="00B138BC" w:rsidP="00B138BC">
      <w:pPr>
        <w:pStyle w:val="SingleTxtGR"/>
      </w:pPr>
      <w:r w:rsidRPr="00B138BC">
        <w:t>1.</w:t>
      </w:r>
      <w:r w:rsidRPr="00B138BC">
        <w:tab/>
        <w:t>Комитет по экономическим, социальным и культурным правам рассмо</w:t>
      </w:r>
      <w:r w:rsidRPr="00B138BC">
        <w:t>т</w:t>
      </w:r>
      <w:r w:rsidRPr="00B138BC">
        <w:t>рел шестой периодический доклад Соединенного Королевства Великобритании и Северной Ирландии об осуществлении Международного пакта об экономич</w:t>
      </w:r>
      <w:r w:rsidRPr="00B138BC">
        <w:t>е</w:t>
      </w:r>
      <w:r w:rsidRPr="00B138BC">
        <w:t xml:space="preserve">ских, социальных и культурных правах (E/C.12/GBR/6) </w:t>
      </w:r>
      <w:proofErr w:type="gramStart"/>
      <w:r w:rsidRPr="00B138BC">
        <w:t>на</w:t>
      </w:r>
      <w:proofErr w:type="gramEnd"/>
      <w:r w:rsidRPr="00B138BC">
        <w:t xml:space="preserve"> своих 36-м и 37-м з</w:t>
      </w:r>
      <w:r w:rsidRPr="00B138BC">
        <w:t>а</w:t>
      </w:r>
      <w:r w:rsidRPr="00B138BC">
        <w:t xml:space="preserve">седаниях (см. E/С.12/2016/SR.36 и 37), состоявшихся 15 и 16 июня 2016 года, и на своем 49-м заседании, состоявшемся 24 июня 2016 года, </w:t>
      </w:r>
      <w:r w:rsidR="00B969DC">
        <w:t xml:space="preserve">и </w:t>
      </w:r>
      <w:r w:rsidRPr="00B138BC">
        <w:t>принял следу</w:t>
      </w:r>
      <w:r w:rsidRPr="00B138BC">
        <w:t>ю</w:t>
      </w:r>
      <w:r w:rsidRPr="00B138BC">
        <w:t>щие заключительные замечания.</w:t>
      </w:r>
    </w:p>
    <w:p w:rsidR="00B138BC" w:rsidRPr="00B138BC" w:rsidRDefault="00B138BC" w:rsidP="00B969DC">
      <w:pPr>
        <w:pStyle w:val="H1GR"/>
      </w:pPr>
      <w:r w:rsidRPr="00B138BC">
        <w:tab/>
        <w:t>A.</w:t>
      </w:r>
      <w:r w:rsidRPr="00B138BC">
        <w:tab/>
        <w:t>Введение</w:t>
      </w:r>
    </w:p>
    <w:p w:rsidR="00B138BC" w:rsidRPr="00B138BC" w:rsidRDefault="00B138BC" w:rsidP="00B138BC">
      <w:pPr>
        <w:pStyle w:val="SingleTxtGR"/>
      </w:pPr>
      <w:r w:rsidRPr="00B138BC">
        <w:t>2.</w:t>
      </w:r>
      <w:r w:rsidRPr="00B138BC">
        <w:tab/>
        <w:t>Комитет приветствует шестой периодический доклад государства-участника и дополнительную информацию, представленную в ответах на пер</w:t>
      </w:r>
      <w:r w:rsidRPr="00B138BC">
        <w:t>е</w:t>
      </w:r>
      <w:r w:rsidRPr="00B138BC">
        <w:t>чень вопросов (E/C.12/GBR/Q/6/Add.1). Комитет приветствует также констру</w:t>
      </w:r>
      <w:r w:rsidRPr="00B138BC">
        <w:t>к</w:t>
      </w:r>
      <w:r w:rsidRPr="00B138BC">
        <w:t>тивный диалог, состоявшийся с межведомственной делегацией государства-участника, в том числе с представителями правительств Шотланд</w:t>
      </w:r>
      <w:proofErr w:type="gramStart"/>
      <w:r w:rsidRPr="00B138BC">
        <w:t>ии и Уэ</w:t>
      </w:r>
      <w:proofErr w:type="gramEnd"/>
      <w:r w:rsidRPr="00B138BC">
        <w:t>льса. Комитет выражает сожаление по поводу того, что отсутствие представителей правительства Северной Ирландии не позволило ему в полной мере оценить то, как осуществляются закрепленные в Пакте права в Северной Ирландии.</w:t>
      </w:r>
    </w:p>
    <w:p w:rsidR="00B138BC" w:rsidRPr="00B138BC" w:rsidRDefault="00B138BC" w:rsidP="00B969DC">
      <w:pPr>
        <w:pStyle w:val="H1GR"/>
      </w:pPr>
      <w:r w:rsidRPr="00B138BC">
        <w:tab/>
        <w:t>B.</w:t>
      </w:r>
      <w:r w:rsidRPr="00B138BC">
        <w:tab/>
        <w:t>Позитивные аспекты</w:t>
      </w:r>
    </w:p>
    <w:p w:rsidR="00B138BC" w:rsidRPr="00B138BC" w:rsidRDefault="00B138BC" w:rsidP="00B138BC">
      <w:pPr>
        <w:pStyle w:val="SingleTxtGR"/>
      </w:pPr>
      <w:r w:rsidRPr="00B138BC">
        <w:t>3.</w:t>
      </w:r>
      <w:r w:rsidRPr="00B138BC">
        <w:tab/>
        <w:t>Комитет приветствует ратификацию Конвенции о правах инвалидов 8</w:t>
      </w:r>
      <w:r w:rsidR="00B969DC">
        <w:t> </w:t>
      </w:r>
      <w:r w:rsidRPr="00B138BC">
        <w:t>июня 2009 года и Факультативного протокола к ней 7 августа 2009 года.</w:t>
      </w:r>
    </w:p>
    <w:p w:rsidR="00B138BC" w:rsidRPr="00B138BC" w:rsidRDefault="00B138BC" w:rsidP="00B138BC">
      <w:pPr>
        <w:pStyle w:val="SingleTxtGR"/>
      </w:pPr>
      <w:r w:rsidRPr="00B138BC">
        <w:t>4.</w:t>
      </w:r>
      <w:r w:rsidRPr="00B138BC">
        <w:tab/>
        <w:t>Комитет с удовлетворением отмечает принятие следующих законодател</w:t>
      </w:r>
      <w:r w:rsidRPr="00B138BC">
        <w:t>ь</w:t>
      </w:r>
      <w:r w:rsidRPr="00B138BC">
        <w:t>ных актов:</w:t>
      </w:r>
    </w:p>
    <w:p w:rsidR="00B138BC" w:rsidRPr="00B138BC" w:rsidRDefault="00B969DC" w:rsidP="00B138BC">
      <w:pPr>
        <w:pStyle w:val="SingleTxtGR"/>
      </w:pPr>
      <w:r>
        <w:tab/>
      </w:r>
      <w:r w:rsidR="00B138BC" w:rsidRPr="00B138BC">
        <w:t>а)</w:t>
      </w:r>
      <w:r w:rsidR="00B138BC" w:rsidRPr="00B138BC">
        <w:tab/>
        <w:t>Закона о современном рабстве 2015 года;</w:t>
      </w:r>
    </w:p>
    <w:p w:rsidR="00B138BC" w:rsidRPr="00B138BC" w:rsidRDefault="00D841D3" w:rsidP="00B138BC">
      <w:pPr>
        <w:pStyle w:val="SingleTxtGR"/>
      </w:pPr>
      <w:r>
        <w:lastRenderedPageBreak/>
        <w:tab/>
      </w:r>
      <w:r w:rsidR="00B138BC" w:rsidRPr="00B138BC">
        <w:t>b)</w:t>
      </w:r>
      <w:r w:rsidR="00B138BC" w:rsidRPr="00B138BC">
        <w:tab/>
        <w:t>Закона об уходе 2014 года;</w:t>
      </w:r>
    </w:p>
    <w:p w:rsidR="00B138BC" w:rsidRPr="00B138BC" w:rsidRDefault="00D841D3" w:rsidP="00B138BC">
      <w:pPr>
        <w:pStyle w:val="SingleTxtGR"/>
      </w:pPr>
      <w:r>
        <w:tab/>
      </w:r>
      <w:r w:rsidR="00B138BC" w:rsidRPr="00B138BC">
        <w:t>c)</w:t>
      </w:r>
      <w:r w:rsidR="00B138BC" w:rsidRPr="00B138BC">
        <w:tab/>
      </w:r>
      <w:r>
        <w:t>«</w:t>
      </w:r>
      <w:r w:rsidR="00B138BC" w:rsidRPr="00B138BC">
        <w:t>Новые шотландцы: интеграция беженцев в шотландское общество на местах (2014–2017 годы)</w:t>
      </w:r>
      <w:r>
        <w:t>»</w:t>
      </w:r>
      <w:r w:rsidR="00B138BC" w:rsidRPr="00B138BC">
        <w:t xml:space="preserve">; </w:t>
      </w:r>
    </w:p>
    <w:p w:rsidR="00B138BC" w:rsidRPr="0028392C" w:rsidRDefault="00D841D3" w:rsidP="00B138BC">
      <w:pPr>
        <w:pStyle w:val="SingleTxtGR"/>
      </w:pPr>
      <w:r>
        <w:tab/>
      </w:r>
      <w:r w:rsidR="00B138BC" w:rsidRPr="00B138BC">
        <w:t>d)</w:t>
      </w:r>
      <w:r w:rsidR="00B138BC" w:rsidRPr="00B138BC">
        <w:tab/>
        <w:t>Шотландского национального плана действий в области прав чел</w:t>
      </w:r>
      <w:r w:rsidR="00B138BC" w:rsidRPr="00B138BC">
        <w:t>о</w:t>
      </w:r>
      <w:r w:rsidR="0028392C">
        <w:t>века (2013–2017 годы).</w:t>
      </w:r>
    </w:p>
    <w:p w:rsidR="00B138BC" w:rsidRPr="00B138BC" w:rsidRDefault="00B138BC" w:rsidP="00D841D3">
      <w:pPr>
        <w:pStyle w:val="H1GR"/>
      </w:pPr>
      <w:r w:rsidRPr="00B138BC">
        <w:tab/>
        <w:t>С.</w:t>
      </w:r>
      <w:r w:rsidRPr="00B138BC">
        <w:tab/>
        <w:t>Основные вопросы, вызывающие обеспокоенность, и</w:t>
      </w:r>
      <w:r w:rsidR="00D841D3">
        <w:t> </w:t>
      </w:r>
      <w:r w:rsidRPr="00B138BC">
        <w:t>рекомендации</w:t>
      </w:r>
    </w:p>
    <w:p w:rsidR="00B138BC" w:rsidRPr="00B138BC" w:rsidRDefault="00D841D3" w:rsidP="00D841D3">
      <w:pPr>
        <w:pStyle w:val="H23GR"/>
      </w:pPr>
      <w:r>
        <w:tab/>
      </w:r>
      <w:r>
        <w:tab/>
      </w:r>
      <w:r w:rsidR="00B138BC" w:rsidRPr="00B138BC">
        <w:t>Возможность защиты экономических, социальных и культурных прав в</w:t>
      </w:r>
      <w:r>
        <w:t> </w:t>
      </w:r>
      <w:r w:rsidR="00B138BC" w:rsidRPr="00B138BC">
        <w:t>судебном порядке</w:t>
      </w:r>
    </w:p>
    <w:p w:rsidR="00B138BC" w:rsidRPr="00B138BC" w:rsidRDefault="00B138BC" w:rsidP="00B138BC">
      <w:pPr>
        <w:pStyle w:val="SingleTxtGR"/>
      </w:pPr>
      <w:r w:rsidRPr="00B138BC">
        <w:t>5.</w:t>
      </w:r>
      <w:r w:rsidRPr="00B138BC">
        <w:tab/>
        <w:t>Комитет принимает к сведению замечания государства-участника о вкл</w:t>
      </w:r>
      <w:r w:rsidRPr="00B138BC">
        <w:t>ю</w:t>
      </w:r>
      <w:r w:rsidRPr="00B138BC">
        <w:t>чении предусмотренных в Пакте прав во внутреннее законодательство, однако вместе с тем выражает сожаление в связи с невозможностью прямого примен</w:t>
      </w:r>
      <w:r w:rsidRPr="00B138BC">
        <w:t>е</w:t>
      </w:r>
      <w:r w:rsidRPr="00B138BC">
        <w:t xml:space="preserve">ния закрепленных в Пакте прав в национальных судах, что может ограничить доступ к эффективным средствам правовой защиты в случае нарушения таких прав. </w:t>
      </w:r>
    </w:p>
    <w:p w:rsidR="00B138BC" w:rsidRPr="00D841D3" w:rsidRDefault="00B138BC" w:rsidP="00B138BC">
      <w:pPr>
        <w:pStyle w:val="SingleTxtGR"/>
        <w:rPr>
          <w:b/>
        </w:rPr>
      </w:pPr>
      <w:r w:rsidRPr="00B138BC">
        <w:t>6.</w:t>
      </w:r>
      <w:r w:rsidRPr="00B138BC">
        <w:tab/>
      </w:r>
      <w:r w:rsidRPr="00D841D3">
        <w:rPr>
          <w:b/>
        </w:rPr>
        <w:t>Комитет напоминает о своей предыдущей рекомендации (см.</w:t>
      </w:r>
      <w:r w:rsidR="00D841D3" w:rsidRPr="00D841D3">
        <w:rPr>
          <w:b/>
        </w:rPr>
        <w:t> </w:t>
      </w:r>
      <w:r w:rsidRPr="00D841D3">
        <w:rPr>
          <w:b/>
        </w:rPr>
        <w:t>E/C.12/</w:t>
      </w:r>
      <w:r w:rsidR="00D841D3" w:rsidRPr="00D841D3">
        <w:rPr>
          <w:b/>
        </w:rPr>
        <w:br/>
      </w:r>
      <w:r w:rsidRPr="00D841D3">
        <w:rPr>
          <w:b/>
        </w:rPr>
        <w:t>GBR/CO/5, пункт 13) и настоятельно призывает государство-участник в полной мере включить предусмотренные Пактом права в свою национал</w:t>
      </w:r>
      <w:r w:rsidRPr="00D841D3">
        <w:rPr>
          <w:b/>
        </w:rPr>
        <w:t>ь</w:t>
      </w:r>
      <w:r w:rsidRPr="00D841D3">
        <w:rPr>
          <w:b/>
        </w:rPr>
        <w:t>ную правовую систему и обеспечить жертвам нарушений экономических, социальных и культурных прав полный доступ к эффективным средствам правовой защиты. Комитет обращает внимание государства-участника на свое замечание общего порядка № 9 (1998) о применении Пакта во вну</w:t>
      </w:r>
      <w:r w:rsidRPr="00D841D3">
        <w:rPr>
          <w:b/>
        </w:rPr>
        <w:t>т</w:t>
      </w:r>
      <w:r w:rsidRPr="00D841D3">
        <w:rPr>
          <w:b/>
        </w:rPr>
        <w:t>реннем праве.</w:t>
      </w:r>
    </w:p>
    <w:p w:rsidR="00B138BC" w:rsidRPr="00B138BC" w:rsidRDefault="00D841D3" w:rsidP="00D841D3">
      <w:pPr>
        <w:pStyle w:val="H23GR"/>
      </w:pPr>
      <w:r>
        <w:tab/>
      </w:r>
      <w:r>
        <w:tab/>
      </w:r>
      <w:r w:rsidR="00B138BC" w:rsidRPr="00B138BC">
        <w:t>Автономные органы власти</w:t>
      </w:r>
    </w:p>
    <w:p w:rsidR="00B138BC" w:rsidRPr="00B138BC" w:rsidRDefault="00B138BC" w:rsidP="00B138BC">
      <w:pPr>
        <w:pStyle w:val="SingleTxtGR"/>
      </w:pPr>
      <w:r w:rsidRPr="00B138BC">
        <w:t>7.</w:t>
      </w:r>
      <w:r w:rsidRPr="00B138BC">
        <w:tab/>
      </w:r>
      <w:proofErr w:type="gramStart"/>
      <w:r w:rsidRPr="00B138BC">
        <w:t>Принимая к сведению сложность структуры государства-участника и наличие автономных органов власти в Уэльсе, Шотландии и Северной Ирла</w:t>
      </w:r>
      <w:r w:rsidRPr="00B138BC">
        <w:t>н</w:t>
      </w:r>
      <w:r w:rsidRPr="00B138BC">
        <w:t>дии, равно как и его ответственность в отношении британских заморских те</w:t>
      </w:r>
      <w:r w:rsidRPr="00B138BC">
        <w:t>р</w:t>
      </w:r>
      <w:r w:rsidRPr="00B138BC">
        <w:t>риторий и подвластных Короне территорий, Комитет выражает сожаление в связи с тем, что Северная Ирландия не вовлечена в процесс обзора и не учас</w:t>
      </w:r>
      <w:r w:rsidRPr="00B138BC">
        <w:t>т</w:t>
      </w:r>
      <w:r w:rsidRPr="00B138BC">
        <w:t>вует в нем, а также в связи с ограниченностью имеющейся информации об</w:t>
      </w:r>
      <w:proofErr w:type="gramEnd"/>
      <w:r w:rsidRPr="00B138BC">
        <w:t xml:space="preserve"> </w:t>
      </w:r>
      <w:proofErr w:type="gramStart"/>
      <w:r w:rsidRPr="00B138BC">
        <w:t>осуществлении</w:t>
      </w:r>
      <w:proofErr w:type="gramEnd"/>
      <w:r w:rsidRPr="00B138BC">
        <w:t xml:space="preserve"> экономических, социальных и культурных прав на британских заморских территориях и на подвластных Короне территориях (статья 2).</w:t>
      </w:r>
    </w:p>
    <w:p w:rsidR="00B138BC" w:rsidRPr="00D841D3" w:rsidRDefault="00B138BC" w:rsidP="00B138BC">
      <w:pPr>
        <w:pStyle w:val="SingleTxtGR"/>
        <w:rPr>
          <w:b/>
        </w:rPr>
      </w:pPr>
      <w:r w:rsidRPr="00B138BC">
        <w:t>8.</w:t>
      </w:r>
      <w:r w:rsidRPr="00B138BC">
        <w:tab/>
      </w:r>
      <w:proofErr w:type="gramStart"/>
      <w:r w:rsidRPr="00D841D3">
        <w:rPr>
          <w:b/>
        </w:rPr>
        <w:t>В соответствии со своей предыдущей рекомендацией (см.</w:t>
      </w:r>
      <w:r w:rsidR="00D841D3" w:rsidRPr="00D841D3">
        <w:rPr>
          <w:b/>
        </w:rPr>
        <w:t> </w:t>
      </w:r>
      <w:r w:rsidRPr="00D841D3">
        <w:rPr>
          <w:b/>
        </w:rPr>
        <w:t>E/C.12/</w:t>
      </w:r>
      <w:r w:rsidR="00D841D3" w:rsidRPr="00D841D3">
        <w:rPr>
          <w:b/>
        </w:rPr>
        <w:br/>
      </w:r>
      <w:r w:rsidRPr="00D841D3">
        <w:rPr>
          <w:b/>
        </w:rPr>
        <w:t>GBR/CO/5, пункт 12) Комитет напоминает государству-участнику о его итоговой ответственности за осуществление Пакта во всех его юрисдикц</w:t>
      </w:r>
      <w:r w:rsidRPr="00D841D3">
        <w:rPr>
          <w:b/>
        </w:rPr>
        <w:t>и</w:t>
      </w:r>
      <w:r w:rsidRPr="00D841D3">
        <w:rPr>
          <w:b/>
        </w:rPr>
        <w:t>ях, в том числе на британских заморских территориях и подвластных К</w:t>
      </w:r>
      <w:r w:rsidRPr="00D841D3">
        <w:rPr>
          <w:b/>
        </w:rPr>
        <w:t>о</w:t>
      </w:r>
      <w:r w:rsidRPr="00D841D3">
        <w:rPr>
          <w:b/>
        </w:rPr>
        <w:t>роне территориях, и рекомендует государству-участнику принять все нео</w:t>
      </w:r>
      <w:r w:rsidRPr="00D841D3">
        <w:rPr>
          <w:b/>
        </w:rPr>
        <w:t>б</w:t>
      </w:r>
      <w:r w:rsidRPr="00D841D3">
        <w:rPr>
          <w:b/>
        </w:rPr>
        <w:t>ходимые меры для обеспечения полного осуществления экономических, социальных и культурных прав всеми лицами, находящимися под</w:t>
      </w:r>
      <w:proofErr w:type="gramEnd"/>
      <w:r w:rsidRPr="00D841D3">
        <w:rPr>
          <w:b/>
        </w:rPr>
        <w:t xml:space="preserve"> его юрисдикцией.</w:t>
      </w:r>
    </w:p>
    <w:p w:rsidR="00B138BC" w:rsidRPr="00B138BC" w:rsidRDefault="00D841D3" w:rsidP="00D841D3">
      <w:pPr>
        <w:pStyle w:val="H23GR"/>
      </w:pPr>
      <w:r>
        <w:tab/>
      </w:r>
      <w:r>
        <w:tab/>
      </w:r>
      <w:r w:rsidR="00B138BC" w:rsidRPr="00B138BC">
        <w:t>Билль о правах</w:t>
      </w:r>
    </w:p>
    <w:p w:rsidR="00B138BC" w:rsidRPr="00B138BC" w:rsidRDefault="00B138BC" w:rsidP="00B138BC">
      <w:pPr>
        <w:pStyle w:val="SingleTxtGR"/>
      </w:pPr>
      <w:r w:rsidRPr="00B138BC">
        <w:t>9.</w:t>
      </w:r>
      <w:r w:rsidRPr="00B138BC">
        <w:tab/>
      </w:r>
      <w:proofErr w:type="gramStart"/>
      <w:r w:rsidRPr="00B138BC">
        <w:t>Комитет принимает к сведению обеспокоенность, выраженную наци</w:t>
      </w:r>
      <w:r w:rsidRPr="00B138BC">
        <w:t>о</w:t>
      </w:r>
      <w:r w:rsidRPr="00B138BC">
        <w:t>нальными заинтересованными сторонами в связи с тем, что в результате план</w:t>
      </w:r>
      <w:r w:rsidRPr="00B138BC">
        <w:t>и</w:t>
      </w:r>
      <w:r w:rsidRPr="00B138BC">
        <w:t>руемой замены Закона о правах человека 1998 года н</w:t>
      </w:r>
      <w:r w:rsidR="0028392C">
        <w:t>овым британским биллем о правах</w:t>
      </w:r>
      <w:r w:rsidRPr="00B138BC">
        <w:t xml:space="preserve"> в государстве-участнике может быть </w:t>
      </w:r>
      <w:r w:rsidR="00D841D3">
        <w:t>принижен</w:t>
      </w:r>
      <w:r w:rsidRPr="00B138BC">
        <w:t xml:space="preserve"> статус международных и региональных стандартов в области прав человека, в том числе в области эк</w:t>
      </w:r>
      <w:r w:rsidRPr="00B138BC">
        <w:t>о</w:t>
      </w:r>
      <w:r w:rsidRPr="00B138BC">
        <w:t>номических, социальных и культурных прав.</w:t>
      </w:r>
      <w:proofErr w:type="gramEnd"/>
      <w:r w:rsidRPr="00B138BC">
        <w:t xml:space="preserve"> Комитет выражает сожаление в связи с тем, что предусмотренный </w:t>
      </w:r>
      <w:proofErr w:type="spellStart"/>
      <w:r w:rsidRPr="00B138BC">
        <w:t>Белфастским</w:t>
      </w:r>
      <w:proofErr w:type="spellEnd"/>
      <w:r w:rsidRPr="00B138BC">
        <w:t xml:space="preserve"> соглашением (Соглашением Страстной пятницы) билль о правах для Северной Ирландии все еще не принят.</w:t>
      </w:r>
    </w:p>
    <w:p w:rsidR="00B138BC" w:rsidRPr="007C5710" w:rsidRDefault="00B138BC" w:rsidP="00B138BC">
      <w:pPr>
        <w:pStyle w:val="SingleTxtGR"/>
        <w:rPr>
          <w:b/>
        </w:rPr>
      </w:pPr>
      <w:r w:rsidRPr="00B138BC">
        <w:t>10.</w:t>
      </w:r>
      <w:r w:rsidRPr="00B138BC">
        <w:tab/>
      </w:r>
      <w:r w:rsidRPr="007C5710">
        <w:rPr>
          <w:b/>
        </w:rPr>
        <w:t>Комитет рекомендует государству-участнику провести широкие о</w:t>
      </w:r>
      <w:r w:rsidRPr="007C5710">
        <w:rPr>
          <w:b/>
        </w:rPr>
        <w:t>б</w:t>
      </w:r>
      <w:r w:rsidRPr="007C5710">
        <w:rPr>
          <w:b/>
        </w:rPr>
        <w:t>щественные консультации в отношении своего плана по отмене Закона о правах человека 1998 года, а также предложения о принятии нового билля о правах. Он также рекомендует государству-участнику принять все нео</w:t>
      </w:r>
      <w:r w:rsidRPr="007C5710">
        <w:rPr>
          <w:b/>
        </w:rPr>
        <w:t>б</w:t>
      </w:r>
      <w:r w:rsidRPr="007C5710">
        <w:rPr>
          <w:b/>
        </w:rPr>
        <w:t>ходимые меры для того, чтобы любое новое законодательство в этой обл</w:t>
      </w:r>
      <w:r w:rsidRPr="007C5710">
        <w:rPr>
          <w:b/>
        </w:rPr>
        <w:t>а</w:t>
      </w:r>
      <w:r w:rsidRPr="007C5710">
        <w:rPr>
          <w:b/>
        </w:rPr>
        <w:t>сти было направлено на укрепление положения прав человека, включая экономические, социальные и культурные права, во внутренней правовой системе, а также обеспечить эффективную защиту этих прав во всех юри</w:t>
      </w:r>
      <w:r w:rsidRPr="007C5710">
        <w:rPr>
          <w:b/>
        </w:rPr>
        <w:t>с</w:t>
      </w:r>
      <w:r w:rsidRPr="007C5710">
        <w:rPr>
          <w:b/>
        </w:rPr>
        <w:t>дикциях государства-участника. Комитет напоминает о своей ранее сфо</w:t>
      </w:r>
      <w:r w:rsidRPr="007C5710">
        <w:rPr>
          <w:b/>
        </w:rPr>
        <w:t>р</w:t>
      </w:r>
      <w:r w:rsidRPr="007C5710">
        <w:rPr>
          <w:b/>
        </w:rPr>
        <w:t>мулированной рекомендации (см. E/C.12/GBR/CO/5, пункт 10) и насто</w:t>
      </w:r>
      <w:r w:rsidRPr="007C5710">
        <w:rPr>
          <w:b/>
        </w:rPr>
        <w:t>я</w:t>
      </w:r>
      <w:r w:rsidRPr="007C5710">
        <w:rPr>
          <w:b/>
        </w:rPr>
        <w:t>тельно призывает государство-участник принять все необходимые меры для ускорения принятия билля о правах для Северной Ирландии.</w:t>
      </w:r>
    </w:p>
    <w:p w:rsidR="00B138BC" w:rsidRPr="00B138BC" w:rsidRDefault="00D841D3" w:rsidP="00D841D3">
      <w:pPr>
        <w:pStyle w:val="H23GR"/>
      </w:pPr>
      <w:r>
        <w:tab/>
      </w:r>
      <w:r>
        <w:tab/>
      </w:r>
      <w:r w:rsidR="00B138BC" w:rsidRPr="00B138BC">
        <w:t>Предпринимательская деятельность и экономические, социальные и</w:t>
      </w:r>
      <w:r w:rsidR="0028392C">
        <w:t> </w:t>
      </w:r>
      <w:r w:rsidR="00B138BC" w:rsidRPr="00B138BC">
        <w:t>культурные права</w:t>
      </w:r>
    </w:p>
    <w:p w:rsidR="00B138BC" w:rsidRPr="00B138BC" w:rsidRDefault="00B138BC" w:rsidP="00B138BC">
      <w:pPr>
        <w:pStyle w:val="SingleTxtGR"/>
      </w:pPr>
      <w:r w:rsidRPr="00B138BC">
        <w:t>11.</w:t>
      </w:r>
      <w:r w:rsidRPr="00B138BC">
        <w:tab/>
        <w:t>Комитет приветствует принятие Национального плана действий в области предпринимательской деятельности и прав человека. Вместе с тем Комитет обеспокоен отсутствием нормативной базы, позволяющей обязать компании, осуществляющие деятельность в государстве-участнике, а также компании, з</w:t>
      </w:r>
      <w:r w:rsidRPr="00B138BC">
        <w:t>а</w:t>
      </w:r>
      <w:r w:rsidRPr="00B138BC">
        <w:t>регистрированные в пределах его юрисдикции и осуществляющие деятельность за рубежом, в полной мере соблюдать экономические, социальные и культурные права (пункт 1 статьи 2).</w:t>
      </w:r>
    </w:p>
    <w:p w:rsidR="00B138BC" w:rsidRPr="007C5710" w:rsidRDefault="00B138BC" w:rsidP="00B138BC">
      <w:pPr>
        <w:pStyle w:val="SingleTxtGR"/>
        <w:rPr>
          <w:b/>
        </w:rPr>
      </w:pPr>
      <w:r w:rsidRPr="00B138BC">
        <w:t>12.</w:t>
      </w:r>
      <w:r w:rsidRPr="00B138BC">
        <w:tab/>
      </w:r>
      <w:r w:rsidRPr="007C5710">
        <w:rPr>
          <w:b/>
        </w:rPr>
        <w:t>Комитет рекомендует государству-участнику:</w:t>
      </w:r>
    </w:p>
    <w:p w:rsidR="00B138BC" w:rsidRPr="007C5710" w:rsidRDefault="00D841D3" w:rsidP="00B138BC">
      <w:pPr>
        <w:pStyle w:val="SingleTxtGR"/>
        <w:rPr>
          <w:b/>
        </w:rPr>
      </w:pPr>
      <w:r w:rsidRPr="007C5710">
        <w:rPr>
          <w:b/>
        </w:rPr>
        <w:tab/>
      </w:r>
      <w:r w:rsidR="00B138BC" w:rsidRPr="007C5710">
        <w:rPr>
          <w:b/>
        </w:rPr>
        <w:t>a)</w:t>
      </w:r>
      <w:r w:rsidR="00B138BC" w:rsidRPr="007C5710">
        <w:rPr>
          <w:b/>
        </w:rPr>
        <w:tab/>
        <w:t>создать четкий механизм регулирования деятельности комп</w:t>
      </w:r>
      <w:r w:rsidR="00B138BC" w:rsidRPr="007C5710">
        <w:rPr>
          <w:b/>
        </w:rPr>
        <w:t>а</w:t>
      </w:r>
      <w:r w:rsidR="00B138BC" w:rsidRPr="007C5710">
        <w:rPr>
          <w:b/>
        </w:rPr>
        <w:t>ний на территории государства-участника для обеспечения того, чтобы их деятельность не оказывала неблагоприятного воздействия на осуществл</w:t>
      </w:r>
      <w:r w:rsidR="00B138BC" w:rsidRPr="007C5710">
        <w:rPr>
          <w:b/>
        </w:rPr>
        <w:t>е</w:t>
      </w:r>
      <w:r w:rsidR="00B138BC" w:rsidRPr="007C5710">
        <w:rPr>
          <w:b/>
        </w:rPr>
        <w:t>ние экономических, социальных и культурных прав человека;</w:t>
      </w:r>
    </w:p>
    <w:p w:rsidR="00B138BC" w:rsidRPr="007C5710" w:rsidRDefault="00D841D3" w:rsidP="00B138BC">
      <w:pPr>
        <w:pStyle w:val="SingleTxtGR"/>
        <w:rPr>
          <w:b/>
          <w:bCs/>
        </w:rPr>
      </w:pPr>
      <w:r w:rsidRPr="007C5710">
        <w:rPr>
          <w:b/>
        </w:rPr>
        <w:tab/>
      </w:r>
      <w:r w:rsidR="00B138BC" w:rsidRPr="007C5710">
        <w:rPr>
          <w:b/>
        </w:rPr>
        <w:t>b)</w:t>
      </w:r>
      <w:r w:rsidR="00B138BC" w:rsidRPr="007C5710">
        <w:rPr>
          <w:b/>
        </w:rPr>
        <w:tab/>
        <w:t>принять надлежащие законодательные и административные меры, предусматривающие юридическую ответственность компаний, зар</w:t>
      </w:r>
      <w:r w:rsidR="00B138BC" w:rsidRPr="007C5710">
        <w:rPr>
          <w:b/>
        </w:rPr>
        <w:t>е</w:t>
      </w:r>
      <w:r w:rsidR="00B138BC" w:rsidRPr="007C5710">
        <w:rPr>
          <w:b/>
        </w:rPr>
        <w:t>гистрированных в пределах юрисдикции государства-участника, за нар</w:t>
      </w:r>
      <w:r w:rsidR="00B138BC" w:rsidRPr="007C5710">
        <w:rPr>
          <w:b/>
        </w:rPr>
        <w:t>у</w:t>
      </w:r>
      <w:r w:rsidR="00B138BC" w:rsidRPr="007C5710">
        <w:rPr>
          <w:b/>
        </w:rPr>
        <w:t>шения экономических, социальных и культурных прав в ходе осуществл</w:t>
      </w:r>
      <w:r w:rsidR="00B138BC" w:rsidRPr="007C5710">
        <w:rPr>
          <w:b/>
        </w:rPr>
        <w:t>е</w:t>
      </w:r>
      <w:r w:rsidR="00B138BC" w:rsidRPr="007C5710">
        <w:rPr>
          <w:b/>
        </w:rPr>
        <w:t>ния их проектов за границей, допускаемые непосредственно этими комп</w:t>
      </w:r>
      <w:r w:rsidR="00B138BC" w:rsidRPr="007C5710">
        <w:rPr>
          <w:b/>
        </w:rPr>
        <w:t>а</w:t>
      </w:r>
      <w:r w:rsidR="00B138BC" w:rsidRPr="007C5710">
        <w:rPr>
          <w:b/>
        </w:rPr>
        <w:t>ниями или возникающие в результате деятельности их дочерних предпр</w:t>
      </w:r>
      <w:r w:rsidR="00B138BC" w:rsidRPr="007C5710">
        <w:rPr>
          <w:b/>
        </w:rPr>
        <w:t>и</w:t>
      </w:r>
      <w:r w:rsidR="00B138BC" w:rsidRPr="007C5710">
        <w:rPr>
          <w:b/>
        </w:rPr>
        <w:t>ятий;</w:t>
      </w:r>
    </w:p>
    <w:p w:rsidR="00B138BC" w:rsidRPr="007C5710" w:rsidRDefault="00D841D3" w:rsidP="00B138BC">
      <w:pPr>
        <w:pStyle w:val="SingleTxtGR"/>
        <w:rPr>
          <w:b/>
        </w:rPr>
      </w:pPr>
      <w:r w:rsidRPr="007C5710">
        <w:rPr>
          <w:b/>
        </w:rPr>
        <w:tab/>
      </w:r>
      <w:r w:rsidR="00B138BC" w:rsidRPr="007C5710">
        <w:rPr>
          <w:b/>
        </w:rPr>
        <w:t>c)</w:t>
      </w:r>
      <w:r w:rsidR="00B138BC" w:rsidRPr="007C5710">
        <w:rPr>
          <w:b/>
        </w:rPr>
        <w:tab/>
        <w:t>проводить тщательную оценку рисков перед выдачей лицензий на экспорт оружия и отказывать в выдаче или приостанавливать действие таких лицензий в тех случаях, когда существует риск использования этого оружия для нарушения прав человека, включая экономических, социал</w:t>
      </w:r>
      <w:r w:rsidR="00B138BC" w:rsidRPr="007C5710">
        <w:rPr>
          <w:b/>
        </w:rPr>
        <w:t>ь</w:t>
      </w:r>
      <w:r w:rsidR="00B138BC" w:rsidRPr="007C5710">
        <w:rPr>
          <w:b/>
        </w:rPr>
        <w:t>ных и культурных прав.</w:t>
      </w:r>
    </w:p>
    <w:p w:rsidR="00B138BC" w:rsidRPr="0028392C" w:rsidRDefault="00B138BC" w:rsidP="00B138BC">
      <w:pPr>
        <w:pStyle w:val="SingleTxtGR"/>
        <w:rPr>
          <w:b/>
        </w:rPr>
      </w:pPr>
      <w:r w:rsidRPr="00B138BC">
        <w:t>13.</w:t>
      </w:r>
      <w:r w:rsidRPr="00B138BC">
        <w:tab/>
      </w:r>
      <w:r w:rsidRPr="0028392C">
        <w:rPr>
          <w:b/>
        </w:rPr>
        <w:t>Комитет обращает внимание государства-участника на свое заявл</w:t>
      </w:r>
      <w:r w:rsidRPr="0028392C">
        <w:rPr>
          <w:b/>
        </w:rPr>
        <w:t>е</w:t>
      </w:r>
      <w:r w:rsidRPr="0028392C">
        <w:rPr>
          <w:b/>
        </w:rPr>
        <w:t>ние об обязательствах государств-участников в отношении корпоративного сектора и экономических, социальных и культурных прав (E/2012/22-E/</w:t>
      </w:r>
      <w:r w:rsidR="0028392C">
        <w:rPr>
          <w:b/>
        </w:rPr>
        <w:br/>
      </w:r>
      <w:r w:rsidRPr="0028392C">
        <w:rPr>
          <w:b/>
        </w:rPr>
        <w:t>C.12/2011/3, приложение VI, раздел A).</w:t>
      </w:r>
    </w:p>
    <w:p w:rsidR="00B138BC" w:rsidRPr="00B138BC" w:rsidRDefault="007C5710" w:rsidP="007C5710">
      <w:pPr>
        <w:pStyle w:val="H23GR"/>
      </w:pPr>
      <w:r>
        <w:tab/>
      </w:r>
      <w:r>
        <w:tab/>
      </w:r>
      <w:r w:rsidR="00B138BC" w:rsidRPr="00B138BC">
        <w:t>Международное сотрудничество в целях развития</w:t>
      </w:r>
    </w:p>
    <w:p w:rsidR="00B138BC" w:rsidRPr="00B138BC" w:rsidRDefault="00B138BC" w:rsidP="00B138BC">
      <w:pPr>
        <w:pStyle w:val="SingleTxtGR"/>
      </w:pPr>
      <w:r w:rsidRPr="00B138BC">
        <w:t>14.</w:t>
      </w:r>
      <w:r w:rsidRPr="00B138BC">
        <w:tab/>
        <w:t>Приветствуя достижение государством-участником международного ц</w:t>
      </w:r>
      <w:r w:rsidRPr="00B138BC">
        <w:t>е</w:t>
      </w:r>
      <w:r w:rsidR="0028392C">
        <w:t xml:space="preserve">левого показателя 0,7% </w:t>
      </w:r>
      <w:r w:rsidRPr="00B138BC">
        <w:t>валового национального продукта, выделяемого на официальную помощь в целях развития в рамках международного сотруднич</w:t>
      </w:r>
      <w:r w:rsidRPr="00B138BC">
        <w:t>е</w:t>
      </w:r>
      <w:r w:rsidRPr="00B138BC">
        <w:t>ства, Комитет выражает обеспокоенность в связи с тем, что в некоторых случ</w:t>
      </w:r>
      <w:r w:rsidRPr="00B138BC">
        <w:t>а</w:t>
      </w:r>
      <w:r w:rsidRPr="00B138BC">
        <w:t>ях оказываемая помощь, по сообщениям, направляется на мероприятия, кот</w:t>
      </w:r>
      <w:r w:rsidRPr="00B138BC">
        <w:t>о</w:t>
      </w:r>
      <w:r w:rsidRPr="00B138BC">
        <w:t>рыми нарушаются экономические, социальные и культурные прав</w:t>
      </w:r>
      <w:r w:rsidR="0028392C">
        <w:t>а</w:t>
      </w:r>
      <w:r w:rsidRPr="00B138BC">
        <w:t xml:space="preserve"> в странах-получателях. Комитет особо обеспокоен тем, что финансовая поддержка, выд</w:t>
      </w:r>
      <w:r w:rsidRPr="00B138BC">
        <w:t>е</w:t>
      </w:r>
      <w:r w:rsidRPr="00B138BC">
        <w:t xml:space="preserve">ляемая государством-участником частным субъектам на осуществление </w:t>
      </w:r>
      <w:proofErr w:type="spellStart"/>
      <w:r w:rsidRPr="00B138BC">
        <w:t>низк</w:t>
      </w:r>
      <w:r w:rsidRPr="00B138BC">
        <w:t>о</w:t>
      </w:r>
      <w:r w:rsidRPr="00B138BC">
        <w:t>затратных</w:t>
      </w:r>
      <w:proofErr w:type="spellEnd"/>
      <w:r w:rsidRPr="00B138BC">
        <w:t xml:space="preserve"> частных образовательных проектов в развивающихся странах, может приводить к снижению качества бесплатного государственного образования и сегрегации и дискриминации среди учащихся и студентов (статьи 2, 13 и 14).</w:t>
      </w:r>
    </w:p>
    <w:p w:rsidR="00B138BC" w:rsidRPr="007C5710" w:rsidRDefault="00B138BC" w:rsidP="00B138BC">
      <w:pPr>
        <w:pStyle w:val="SingleTxtGR"/>
        <w:rPr>
          <w:b/>
        </w:rPr>
      </w:pPr>
      <w:r w:rsidRPr="00B138BC">
        <w:t>15.</w:t>
      </w:r>
      <w:r w:rsidRPr="00B138BC">
        <w:tab/>
      </w:r>
      <w:r w:rsidRPr="007C5710">
        <w:rPr>
          <w:b/>
        </w:rPr>
        <w:t>Комитет призывает государство-участник руководствоваться прав</w:t>
      </w:r>
      <w:r w:rsidRPr="007C5710">
        <w:rPr>
          <w:b/>
        </w:rPr>
        <w:t>о</w:t>
      </w:r>
      <w:r w:rsidRPr="007C5710">
        <w:rPr>
          <w:b/>
        </w:rPr>
        <w:t>защитным подходом в процессе международного сотрудничества и для эт</w:t>
      </w:r>
      <w:r w:rsidRPr="007C5710">
        <w:rPr>
          <w:b/>
        </w:rPr>
        <w:t>о</w:t>
      </w:r>
      <w:r w:rsidRPr="007C5710">
        <w:rPr>
          <w:b/>
        </w:rPr>
        <w:t>го:</w:t>
      </w:r>
    </w:p>
    <w:p w:rsidR="00B138BC" w:rsidRPr="007C5710" w:rsidRDefault="007C5710" w:rsidP="00B138BC">
      <w:pPr>
        <w:pStyle w:val="SingleTxtGR"/>
        <w:rPr>
          <w:b/>
          <w:bCs/>
        </w:rPr>
      </w:pPr>
      <w:r w:rsidRPr="007C5710">
        <w:rPr>
          <w:b/>
        </w:rPr>
        <w:tab/>
      </w:r>
      <w:r w:rsidR="00B138BC" w:rsidRPr="007C5710">
        <w:rPr>
          <w:b/>
        </w:rPr>
        <w:t>a)</w:t>
      </w:r>
      <w:r w:rsidR="00B138BC" w:rsidRPr="007C5710">
        <w:rPr>
          <w:b/>
        </w:rPr>
        <w:tab/>
        <w:t>до принятия решения о финансировании систематически пр</w:t>
      </w:r>
      <w:r w:rsidR="00B138BC" w:rsidRPr="007C5710">
        <w:rPr>
          <w:b/>
        </w:rPr>
        <w:t>о</w:t>
      </w:r>
      <w:r w:rsidR="00B138BC" w:rsidRPr="007C5710">
        <w:rPr>
          <w:b/>
        </w:rPr>
        <w:t>водить независимую оценку последствий, которые будут иметь для прав человека проекты сотрудничества в целях развития;</w:t>
      </w:r>
    </w:p>
    <w:p w:rsidR="00B138BC" w:rsidRPr="007C5710" w:rsidRDefault="007C5710" w:rsidP="00B138BC">
      <w:pPr>
        <w:pStyle w:val="SingleTxtGR"/>
        <w:rPr>
          <w:b/>
          <w:bCs/>
        </w:rPr>
      </w:pPr>
      <w:r w:rsidRPr="007C5710">
        <w:rPr>
          <w:b/>
        </w:rPr>
        <w:tab/>
      </w:r>
      <w:r w:rsidR="00B138BC" w:rsidRPr="007C5710">
        <w:rPr>
          <w:b/>
        </w:rPr>
        <w:t>b)</w:t>
      </w:r>
      <w:r w:rsidR="00B138BC" w:rsidRPr="007C5710">
        <w:rPr>
          <w:b/>
        </w:rPr>
        <w:tab/>
        <w:t>создать эффективный механизм мониторинга для проведения регулярной оценки воздействия его политики и проектов на права челов</w:t>
      </w:r>
      <w:r w:rsidR="00B138BC" w:rsidRPr="007C5710">
        <w:rPr>
          <w:b/>
        </w:rPr>
        <w:t>е</w:t>
      </w:r>
      <w:r w:rsidR="00B138BC" w:rsidRPr="007C5710">
        <w:rPr>
          <w:b/>
        </w:rPr>
        <w:t>ка в странах-бенефициарах и, при необходимости, для принятия коррект</w:t>
      </w:r>
      <w:r w:rsidR="00B138BC" w:rsidRPr="007C5710">
        <w:rPr>
          <w:b/>
        </w:rPr>
        <w:t>и</w:t>
      </w:r>
      <w:r w:rsidR="00B138BC" w:rsidRPr="007C5710">
        <w:rPr>
          <w:b/>
        </w:rPr>
        <w:t>ровочных мер;</w:t>
      </w:r>
    </w:p>
    <w:p w:rsidR="00B138BC" w:rsidRPr="007C5710" w:rsidRDefault="007C5710" w:rsidP="00B138BC">
      <w:pPr>
        <w:pStyle w:val="SingleTxtGR"/>
        <w:rPr>
          <w:b/>
          <w:bCs/>
        </w:rPr>
      </w:pPr>
      <w:r w:rsidRPr="007C5710">
        <w:rPr>
          <w:b/>
        </w:rPr>
        <w:tab/>
      </w:r>
      <w:r w:rsidR="00B138BC" w:rsidRPr="007C5710">
        <w:rPr>
          <w:b/>
        </w:rPr>
        <w:t>c)</w:t>
      </w:r>
      <w:r w:rsidR="00B138BC" w:rsidRPr="007C5710">
        <w:rPr>
          <w:b/>
        </w:rPr>
        <w:tab/>
        <w:t>предусмотреть в рамках проектов сотрудничества в целях ра</w:t>
      </w:r>
      <w:r w:rsidR="00B138BC" w:rsidRPr="007C5710">
        <w:rPr>
          <w:b/>
        </w:rPr>
        <w:t>з</w:t>
      </w:r>
      <w:r w:rsidR="00B138BC" w:rsidRPr="007C5710">
        <w:rPr>
          <w:b/>
        </w:rPr>
        <w:t>вития доступный механизм подачи жалоб на нарушения экономических, социальных и культурных прав в странах-бенефициарах.</w:t>
      </w:r>
    </w:p>
    <w:p w:rsidR="00B138BC" w:rsidRPr="00B138BC" w:rsidRDefault="00B138BC" w:rsidP="00B138BC">
      <w:pPr>
        <w:pStyle w:val="SingleTxtGR"/>
        <w:rPr>
          <w:b/>
        </w:rPr>
      </w:pPr>
      <w:r w:rsidRPr="00B138BC">
        <w:rPr>
          <w:b/>
          <w:bCs/>
        </w:rPr>
        <w:t>Налоговая политика</w:t>
      </w:r>
    </w:p>
    <w:p w:rsidR="00B138BC" w:rsidRPr="00B138BC" w:rsidRDefault="00B138BC" w:rsidP="00B138BC">
      <w:pPr>
        <w:pStyle w:val="SingleTxtGR"/>
        <w:rPr>
          <w:b/>
        </w:rPr>
      </w:pPr>
      <w:r w:rsidRPr="00B138BC">
        <w:t>16.</w:t>
      </w:r>
      <w:r w:rsidRPr="00B138BC">
        <w:tab/>
      </w:r>
      <w:proofErr w:type="gramStart"/>
      <w:r w:rsidRPr="00B138BC">
        <w:t>Комитет выражает обеспокоенность по поводу того, что недавние изм</w:t>
      </w:r>
      <w:r w:rsidRPr="00B138BC">
        <w:t>е</w:t>
      </w:r>
      <w:r w:rsidRPr="00B138BC">
        <w:t>нения в налогово-бюджетной политике государства-участника, такие как увел</w:t>
      </w:r>
      <w:r w:rsidRPr="00B138BC">
        <w:t>и</w:t>
      </w:r>
      <w:r w:rsidRPr="00B138BC">
        <w:t>чение минимальной величины базы, с которой уплачивается налог на насле</w:t>
      </w:r>
      <w:r w:rsidRPr="00B138BC">
        <w:t>д</w:t>
      </w:r>
      <w:r w:rsidRPr="00B138BC">
        <w:t>ство, и повышение налога на добавленную стоимость, а также постепенное снижение налога на прибыль, отрицательно сказываются на способности гос</w:t>
      </w:r>
      <w:r w:rsidRPr="00B138BC">
        <w:t>у</w:t>
      </w:r>
      <w:r w:rsidRPr="00B138BC">
        <w:t>дарства-участника преодолевать сохраняющиеся проблемы социального нер</w:t>
      </w:r>
      <w:r w:rsidRPr="00B138BC">
        <w:t>а</w:t>
      </w:r>
      <w:r w:rsidRPr="00B138BC">
        <w:t>венства и на наличии у него достаточных ресурсов для полного осуществления экономических, социальных</w:t>
      </w:r>
      <w:proofErr w:type="gramEnd"/>
      <w:r w:rsidRPr="00B138BC">
        <w:t xml:space="preserve"> и культурных прав в интересах находящихся в н</w:t>
      </w:r>
      <w:r w:rsidRPr="00B138BC">
        <w:t>е</w:t>
      </w:r>
      <w:r w:rsidRPr="00B138BC">
        <w:t xml:space="preserve">благоприятном положении и маргинализованных лиц и групп. </w:t>
      </w:r>
      <w:proofErr w:type="gramStart"/>
      <w:r w:rsidRPr="00B138BC">
        <w:t>Отмечая усилия, которые государство-участник и, в особенности, его заморские территории и подвластные Короне территории прилагают в борьбе с уклонением от уплаты налогов и трансграничными налоговыми злоупотреблениями, Комитет выраж</w:t>
      </w:r>
      <w:r w:rsidRPr="00B138BC">
        <w:t>а</w:t>
      </w:r>
      <w:r w:rsidRPr="00B138BC">
        <w:t>ет обеспокоенность в связи с тем, что законодательство о финансовой тайне и либеральные нормы в области налога на прибыль влияют на способность гос</w:t>
      </w:r>
      <w:r w:rsidRPr="00B138BC">
        <w:t>у</w:t>
      </w:r>
      <w:r w:rsidRPr="00B138BC">
        <w:t>дарства-участника, а также других государств выполнять их обязательства по мобилизации максимального</w:t>
      </w:r>
      <w:proofErr w:type="gramEnd"/>
      <w:r w:rsidRPr="00B138BC">
        <w:t xml:space="preserve"> объема имеющихся ресурсов для целей осущест</w:t>
      </w:r>
      <w:r w:rsidRPr="00B138BC">
        <w:t>в</w:t>
      </w:r>
      <w:r w:rsidRPr="00B138BC">
        <w:t>ления экономических, социальных и культурных прав (пункт 1 статьи 2).</w:t>
      </w:r>
    </w:p>
    <w:p w:rsidR="00B138BC" w:rsidRPr="007C5710" w:rsidRDefault="00B138BC" w:rsidP="00B138BC">
      <w:pPr>
        <w:pStyle w:val="SingleTxtGR"/>
        <w:rPr>
          <w:b/>
        </w:rPr>
      </w:pPr>
      <w:r w:rsidRPr="00B138BC">
        <w:t>17.</w:t>
      </w:r>
      <w:r w:rsidRPr="00B138BC">
        <w:tab/>
      </w:r>
      <w:r w:rsidRPr="007C5710">
        <w:rPr>
          <w:b/>
        </w:rPr>
        <w:t>Комитет рекомендует государству-участнику:</w:t>
      </w:r>
    </w:p>
    <w:p w:rsidR="00B138BC" w:rsidRPr="007C5710" w:rsidRDefault="007C5710" w:rsidP="00B138BC">
      <w:pPr>
        <w:pStyle w:val="SingleTxtGR"/>
        <w:rPr>
          <w:b/>
        </w:rPr>
      </w:pPr>
      <w:r w:rsidRPr="007C5710">
        <w:rPr>
          <w:b/>
        </w:rPr>
        <w:tab/>
      </w:r>
      <w:r w:rsidR="00B138BC" w:rsidRPr="007C5710">
        <w:rPr>
          <w:b/>
        </w:rPr>
        <w:t>а)</w:t>
      </w:r>
      <w:r w:rsidR="00B138BC" w:rsidRPr="007C5710">
        <w:rPr>
          <w:b/>
        </w:rPr>
        <w:tab/>
        <w:t>провести при широком участии общественности оценку п</w:t>
      </w:r>
      <w:r w:rsidR="00B138BC" w:rsidRPr="007C5710">
        <w:rPr>
          <w:b/>
        </w:rPr>
        <w:t>о</w:t>
      </w:r>
      <w:r w:rsidR="00B138BC" w:rsidRPr="007C5710">
        <w:rPr>
          <w:b/>
        </w:rPr>
        <w:t>следствий для прав человека  недавних изменений в его налогово-бюджетной политике, в том числе проанализировать последствия в части распределения и налогово</w:t>
      </w:r>
      <w:r w:rsidRPr="007C5710">
        <w:rPr>
          <w:b/>
        </w:rPr>
        <w:t xml:space="preserve">е </w:t>
      </w:r>
      <w:r w:rsidR="00B138BC" w:rsidRPr="007C5710">
        <w:rPr>
          <w:b/>
        </w:rPr>
        <w:t>брем</w:t>
      </w:r>
      <w:r w:rsidRPr="007C5710">
        <w:rPr>
          <w:b/>
        </w:rPr>
        <w:t>я секторов с</w:t>
      </w:r>
      <w:r w:rsidR="00B138BC" w:rsidRPr="007C5710">
        <w:rPr>
          <w:b/>
        </w:rPr>
        <w:t xml:space="preserve"> различны</w:t>
      </w:r>
      <w:r w:rsidRPr="007C5710">
        <w:rPr>
          <w:b/>
        </w:rPr>
        <w:t>ми</w:t>
      </w:r>
      <w:r w:rsidR="00B138BC" w:rsidRPr="007C5710">
        <w:rPr>
          <w:b/>
        </w:rPr>
        <w:t xml:space="preserve"> доход</w:t>
      </w:r>
      <w:r w:rsidRPr="007C5710">
        <w:rPr>
          <w:b/>
        </w:rPr>
        <w:t>ами</w:t>
      </w:r>
      <w:r w:rsidR="00B138BC" w:rsidRPr="007C5710">
        <w:rPr>
          <w:b/>
        </w:rPr>
        <w:t xml:space="preserve"> и ма</w:t>
      </w:r>
      <w:r w:rsidR="00B138BC" w:rsidRPr="007C5710">
        <w:rPr>
          <w:b/>
        </w:rPr>
        <w:t>р</w:t>
      </w:r>
      <w:r w:rsidR="00B138BC" w:rsidRPr="007C5710">
        <w:rPr>
          <w:b/>
        </w:rPr>
        <w:t>гинализированных и находящихся в неблагоприятном положении групп;</w:t>
      </w:r>
    </w:p>
    <w:p w:rsidR="00B138BC" w:rsidRPr="007C5710" w:rsidRDefault="007C5710" w:rsidP="00B138BC">
      <w:pPr>
        <w:pStyle w:val="SingleTxtGR"/>
        <w:rPr>
          <w:b/>
        </w:rPr>
      </w:pPr>
      <w:r w:rsidRPr="007C5710">
        <w:rPr>
          <w:b/>
        </w:rPr>
        <w:tab/>
      </w:r>
      <w:r w:rsidR="00B138BC" w:rsidRPr="007C5710">
        <w:rPr>
          <w:b/>
        </w:rPr>
        <w:t>b)</w:t>
      </w:r>
      <w:r w:rsidR="00B138BC" w:rsidRPr="007C5710">
        <w:rPr>
          <w:b/>
        </w:rPr>
        <w:tab/>
        <w:t>проводить обоснованную, прогрессивную и социально справе</w:t>
      </w:r>
      <w:r w:rsidR="00B138BC" w:rsidRPr="007C5710">
        <w:rPr>
          <w:b/>
        </w:rPr>
        <w:t>д</w:t>
      </w:r>
      <w:r w:rsidR="00B138BC" w:rsidRPr="007C5710">
        <w:rPr>
          <w:b/>
        </w:rPr>
        <w:t>ливую налогово-бюджетную политику, которая позволила бы повысить с</w:t>
      </w:r>
      <w:r w:rsidR="00B138BC" w:rsidRPr="007C5710">
        <w:rPr>
          <w:b/>
        </w:rPr>
        <w:t>о</w:t>
      </w:r>
      <w:r w:rsidR="00B138BC" w:rsidRPr="007C5710">
        <w:rPr>
          <w:b/>
        </w:rPr>
        <w:t>бираемость налогов с целью увеличения объема средств, могущих быть выделенными на осуществление экономических, социальных и культу</w:t>
      </w:r>
      <w:r w:rsidR="00B138BC" w:rsidRPr="007C5710">
        <w:rPr>
          <w:b/>
        </w:rPr>
        <w:t>р</w:t>
      </w:r>
      <w:r w:rsidR="00B138BC" w:rsidRPr="007C5710">
        <w:rPr>
          <w:b/>
        </w:rPr>
        <w:t>ных прав;</w:t>
      </w:r>
    </w:p>
    <w:p w:rsidR="00B138BC" w:rsidRPr="007C5710" w:rsidRDefault="007C5710" w:rsidP="00B138BC">
      <w:pPr>
        <w:pStyle w:val="SingleTxtGR"/>
        <w:rPr>
          <w:b/>
        </w:rPr>
      </w:pPr>
      <w:r w:rsidRPr="007C5710">
        <w:rPr>
          <w:b/>
        </w:rPr>
        <w:tab/>
      </w:r>
      <w:r w:rsidR="00B138BC" w:rsidRPr="007C5710">
        <w:rPr>
          <w:b/>
        </w:rPr>
        <w:t>c)</w:t>
      </w:r>
      <w:r w:rsidR="00B138BC" w:rsidRPr="007C5710">
        <w:rPr>
          <w:b/>
        </w:rPr>
        <w:tab/>
        <w:t>принимать строгие меры по борьбе с налоговыми злоупотре</w:t>
      </w:r>
      <w:r w:rsidR="00B138BC" w:rsidRPr="007C5710">
        <w:rPr>
          <w:b/>
        </w:rPr>
        <w:t>б</w:t>
      </w:r>
      <w:r w:rsidR="00B138BC" w:rsidRPr="007C5710">
        <w:rPr>
          <w:b/>
        </w:rPr>
        <w:t xml:space="preserve">лениями, в частности со стороны корпораций и состоятельных физических лиц; </w:t>
      </w:r>
    </w:p>
    <w:p w:rsidR="00B138BC" w:rsidRPr="007C5710" w:rsidRDefault="007C5710" w:rsidP="00B138BC">
      <w:pPr>
        <w:pStyle w:val="SingleTxtGR"/>
        <w:rPr>
          <w:b/>
        </w:rPr>
      </w:pPr>
      <w:r w:rsidRPr="007C5710">
        <w:rPr>
          <w:b/>
        </w:rPr>
        <w:tab/>
      </w:r>
      <w:r w:rsidR="00B138BC" w:rsidRPr="007C5710">
        <w:rPr>
          <w:b/>
        </w:rPr>
        <w:t>d)</w:t>
      </w:r>
      <w:r w:rsidR="00B138BC" w:rsidRPr="007C5710">
        <w:rPr>
          <w:b/>
        </w:rPr>
        <w:tab/>
        <w:t>в координации с заморскими территориями и подвластными Короне территориями активизировать свои усилия по борьбе с глобальн</w:t>
      </w:r>
      <w:r w:rsidR="00B138BC" w:rsidRPr="007C5710">
        <w:rPr>
          <w:b/>
        </w:rPr>
        <w:t>ы</w:t>
      </w:r>
      <w:r w:rsidR="00B138BC" w:rsidRPr="007C5710">
        <w:rPr>
          <w:b/>
        </w:rPr>
        <w:t>ми налоговыми злоупотреблениями.</w:t>
      </w:r>
    </w:p>
    <w:p w:rsidR="00B138BC" w:rsidRPr="00B138BC" w:rsidRDefault="007C5710" w:rsidP="007C5710">
      <w:pPr>
        <w:pStyle w:val="H23GR"/>
      </w:pPr>
      <w:r>
        <w:tab/>
      </w:r>
      <w:r>
        <w:tab/>
      </w:r>
      <w:r w:rsidR="00B138BC" w:rsidRPr="00B138BC">
        <w:t>Меры строгой экономии</w:t>
      </w:r>
    </w:p>
    <w:p w:rsidR="00B138BC" w:rsidRPr="00B138BC" w:rsidRDefault="00B138BC" w:rsidP="00B138BC">
      <w:pPr>
        <w:pStyle w:val="SingleTxtGR"/>
      </w:pPr>
      <w:r w:rsidRPr="00B138BC">
        <w:t>18.</w:t>
      </w:r>
      <w:r w:rsidRPr="00B138BC">
        <w:tab/>
        <w:t>Комитет серьезно обеспокоен непропорционально серьезным отриц</w:t>
      </w:r>
      <w:r w:rsidRPr="00B138BC">
        <w:t>а</w:t>
      </w:r>
      <w:r w:rsidRPr="00B138BC">
        <w:t>тельным воздействием мер жесткой экономии, введенных в 2010 году, на ос</w:t>
      </w:r>
      <w:r w:rsidRPr="00B138BC">
        <w:t>у</w:t>
      </w:r>
      <w:r w:rsidRPr="00B138BC">
        <w:t>ществление экономических, социальных и культурных прав находящихся в н</w:t>
      </w:r>
      <w:r w:rsidRPr="00B138BC">
        <w:t>е</w:t>
      </w:r>
      <w:r w:rsidRPr="00B138BC">
        <w:t>благоприятном положении и маргинализованных лиц и групп. Комитет обесп</w:t>
      </w:r>
      <w:r w:rsidRPr="00B138BC">
        <w:t>о</w:t>
      </w:r>
      <w:r w:rsidRPr="00B138BC">
        <w:t>коен тем, что государство-участник не провело всесторонней оценки совоку</w:t>
      </w:r>
      <w:r w:rsidRPr="00B138BC">
        <w:t>п</w:t>
      </w:r>
      <w:r w:rsidRPr="00B138BC">
        <w:t>ного воздействия таких мер на осуществление экономических, социальных и культурных прав способом, признаваемым гражданским обществом и наци</w:t>
      </w:r>
      <w:r w:rsidRPr="00B138BC">
        <w:t>о</w:t>
      </w:r>
      <w:r w:rsidRPr="00B138BC">
        <w:t>нальными независимыми механизмами мониторинга (пункт 1 статьи 2).</w:t>
      </w:r>
    </w:p>
    <w:p w:rsidR="00B138BC" w:rsidRPr="007C5710" w:rsidRDefault="00B138BC" w:rsidP="00B138BC">
      <w:pPr>
        <w:pStyle w:val="SingleTxtGR"/>
        <w:rPr>
          <w:b/>
        </w:rPr>
      </w:pPr>
      <w:r w:rsidRPr="00B138BC">
        <w:t>19.</w:t>
      </w:r>
      <w:r w:rsidRPr="00B138BC">
        <w:tab/>
      </w:r>
      <w:r w:rsidRPr="007C5710">
        <w:rPr>
          <w:b/>
        </w:rPr>
        <w:t>Комитет напоминает государству-участнику о его обязательствах в соответствии с Пактом использовать максимум имеющихся ресурсов, чт</w:t>
      </w:r>
      <w:r w:rsidRPr="007C5710">
        <w:rPr>
          <w:b/>
        </w:rPr>
        <w:t>о</w:t>
      </w:r>
      <w:r w:rsidRPr="007C5710">
        <w:rPr>
          <w:b/>
        </w:rPr>
        <w:t>бы постепенно обеспечить полное осуществление экономических, социал</w:t>
      </w:r>
      <w:r w:rsidRPr="007C5710">
        <w:rPr>
          <w:b/>
        </w:rPr>
        <w:t>ь</w:t>
      </w:r>
      <w:r w:rsidRPr="007C5710">
        <w:rPr>
          <w:b/>
        </w:rPr>
        <w:t>ных и культурных прав. В этой связи Комитет обращает внимание госуда</w:t>
      </w:r>
      <w:r w:rsidRPr="007C5710">
        <w:rPr>
          <w:b/>
        </w:rPr>
        <w:t>р</w:t>
      </w:r>
      <w:r w:rsidRPr="007C5710">
        <w:rPr>
          <w:b/>
        </w:rPr>
        <w:t>ства-участника на рекомендации, которые Комитет сформулировал в о</w:t>
      </w:r>
      <w:r w:rsidRPr="007C5710">
        <w:rPr>
          <w:b/>
        </w:rPr>
        <w:t>т</w:t>
      </w:r>
      <w:r w:rsidRPr="007C5710">
        <w:rPr>
          <w:b/>
        </w:rPr>
        <w:t>крытом письме от 16 мая 2012 года в адрес государств-участников, об эк</w:t>
      </w:r>
      <w:r w:rsidRPr="007C5710">
        <w:rPr>
          <w:b/>
        </w:rPr>
        <w:t>о</w:t>
      </w:r>
      <w:r w:rsidRPr="007C5710">
        <w:rPr>
          <w:b/>
        </w:rPr>
        <w:t>номических, социальных и культурных правах в контексте экономическ</w:t>
      </w:r>
      <w:r w:rsidRPr="007C5710">
        <w:rPr>
          <w:b/>
        </w:rPr>
        <w:t>о</w:t>
      </w:r>
      <w:r w:rsidRPr="007C5710">
        <w:rPr>
          <w:b/>
        </w:rPr>
        <w:t>го и финансового кризиса в том, что касается критериев мер строгой эк</w:t>
      </w:r>
      <w:r w:rsidRPr="007C5710">
        <w:rPr>
          <w:b/>
        </w:rPr>
        <w:t>о</w:t>
      </w:r>
      <w:r w:rsidRPr="007C5710">
        <w:rPr>
          <w:b/>
        </w:rPr>
        <w:t>номии. Такие меры должны быть временными, необходимыми, соразме</w:t>
      </w:r>
      <w:r w:rsidRPr="007C5710">
        <w:rPr>
          <w:b/>
        </w:rPr>
        <w:t>р</w:t>
      </w:r>
      <w:r w:rsidRPr="007C5710">
        <w:rPr>
          <w:b/>
        </w:rPr>
        <w:t xml:space="preserve">ными и недискриминационными и не должны несоразмерно затрагивать права находящихся в неблагоприятном положении и маргинализованных лиц и групп и нарушать минимальный объем прав. </w:t>
      </w:r>
      <w:proofErr w:type="gramStart"/>
      <w:r w:rsidRPr="007C5710">
        <w:rPr>
          <w:b/>
        </w:rPr>
        <w:t>В этой связи Комитет рекомендует государству-участнику провести обзор своей политики и пр</w:t>
      </w:r>
      <w:r w:rsidRPr="007C5710">
        <w:rPr>
          <w:b/>
        </w:rPr>
        <w:t>о</w:t>
      </w:r>
      <w:r w:rsidRPr="007C5710">
        <w:rPr>
          <w:b/>
        </w:rPr>
        <w:t>грамм, принятых с 2010 года, и провести комплексную оценку совокупного воздействия этих мер на осуществление экономических, социальных и культурных прав находящимися в неблагоприятном положении и марг</w:t>
      </w:r>
      <w:r w:rsidRPr="007C5710">
        <w:rPr>
          <w:b/>
        </w:rPr>
        <w:t>и</w:t>
      </w:r>
      <w:r w:rsidRPr="007C5710">
        <w:rPr>
          <w:b/>
        </w:rPr>
        <w:t>нализированными лицами и группами, в частности женщинами, детьми и инвалидами, причем такая оценка должна быть признана всеми заинтер</w:t>
      </w:r>
      <w:r w:rsidRPr="007C5710">
        <w:rPr>
          <w:b/>
        </w:rPr>
        <w:t>е</w:t>
      </w:r>
      <w:r w:rsidRPr="007C5710">
        <w:rPr>
          <w:b/>
        </w:rPr>
        <w:t>сованными сторонами.</w:t>
      </w:r>
      <w:proofErr w:type="gramEnd"/>
    </w:p>
    <w:p w:rsidR="00B138BC" w:rsidRPr="00B138BC" w:rsidRDefault="007C5710" w:rsidP="007C5710">
      <w:pPr>
        <w:pStyle w:val="H23GR"/>
      </w:pPr>
      <w:r>
        <w:tab/>
      </w:r>
      <w:r>
        <w:tab/>
      </w:r>
      <w:r w:rsidR="00B138BC" w:rsidRPr="00B138BC">
        <w:t xml:space="preserve">Правовая помощь </w:t>
      </w:r>
    </w:p>
    <w:p w:rsidR="00B138BC" w:rsidRPr="00B138BC" w:rsidRDefault="00B138BC" w:rsidP="00B138BC">
      <w:pPr>
        <w:pStyle w:val="SingleTxtGR"/>
      </w:pPr>
      <w:r w:rsidRPr="00B138BC">
        <w:t>20.</w:t>
      </w:r>
      <w:r w:rsidRPr="00B138BC">
        <w:tab/>
        <w:t>Комитет обеспокоен тем, что реформы системы правовой помощи и вв</w:t>
      </w:r>
      <w:r w:rsidRPr="00B138BC">
        <w:t>е</w:t>
      </w:r>
      <w:r w:rsidRPr="00B138BC">
        <w:t>дение сборов за рассмотрение дел в судах по трудовым спорам привели к огр</w:t>
      </w:r>
      <w:r w:rsidRPr="00B138BC">
        <w:t>а</w:t>
      </w:r>
      <w:r w:rsidRPr="00B138BC">
        <w:t>ничению доступа к правосудию в таких областях, как занятость, жилье, образ</w:t>
      </w:r>
      <w:r w:rsidRPr="00B138BC">
        <w:t>о</w:t>
      </w:r>
      <w:r w:rsidRPr="00B138BC">
        <w:t>вание и социальное обеспечение (статья 2).</w:t>
      </w:r>
    </w:p>
    <w:p w:rsidR="00B138BC" w:rsidRPr="007C5710" w:rsidRDefault="00B138BC" w:rsidP="00B138BC">
      <w:pPr>
        <w:pStyle w:val="SingleTxtGR"/>
        <w:rPr>
          <w:b/>
        </w:rPr>
      </w:pPr>
      <w:r w:rsidRPr="00B138BC">
        <w:t>21.</w:t>
      </w:r>
      <w:r w:rsidRPr="00B138BC">
        <w:tab/>
      </w:r>
      <w:r w:rsidRPr="007C5710">
        <w:rPr>
          <w:b/>
        </w:rPr>
        <w:t>Комитет рекомендует государству-участнику провести обзор возде</w:t>
      </w:r>
      <w:r w:rsidRPr="007C5710">
        <w:rPr>
          <w:b/>
        </w:rPr>
        <w:t>й</w:t>
      </w:r>
      <w:r w:rsidRPr="007C5710">
        <w:rPr>
          <w:b/>
        </w:rPr>
        <w:t>ствия реформы системы правовой помощи с целью обеспечения доступа к правосудию и оказания бесплатной правовой помощи, в частности наход</w:t>
      </w:r>
      <w:r w:rsidRPr="007C5710">
        <w:rPr>
          <w:b/>
        </w:rPr>
        <w:t>я</w:t>
      </w:r>
      <w:r w:rsidRPr="007C5710">
        <w:rPr>
          <w:b/>
        </w:rPr>
        <w:t>щимся в неблагоприятном положении и маргинализованным лицам и группам населения. Комитет принимает к сведению представленную гос</w:t>
      </w:r>
      <w:r w:rsidRPr="007C5710">
        <w:rPr>
          <w:b/>
        </w:rPr>
        <w:t>у</w:t>
      </w:r>
      <w:r w:rsidRPr="007C5710">
        <w:rPr>
          <w:b/>
        </w:rPr>
        <w:t>дарством-участником информацию о том, что в настоящее время пров</w:t>
      </w:r>
      <w:r w:rsidRPr="007C5710">
        <w:rPr>
          <w:b/>
        </w:rPr>
        <w:t>о</w:t>
      </w:r>
      <w:r w:rsidRPr="007C5710">
        <w:rPr>
          <w:b/>
        </w:rPr>
        <w:t>дится обзор вопроса о сборах за рассмотрение дел в судах по трудовым сп</w:t>
      </w:r>
      <w:r w:rsidRPr="007C5710">
        <w:rPr>
          <w:b/>
        </w:rPr>
        <w:t>о</w:t>
      </w:r>
      <w:r w:rsidRPr="007C5710">
        <w:rPr>
          <w:b/>
        </w:rPr>
        <w:t>рам, и рекомендует отменить такие сборы.</w:t>
      </w:r>
    </w:p>
    <w:p w:rsidR="00B138BC" w:rsidRPr="00B138BC" w:rsidRDefault="007C5710" w:rsidP="007C5710">
      <w:pPr>
        <w:pStyle w:val="H23GR"/>
      </w:pPr>
      <w:r>
        <w:tab/>
      </w:r>
      <w:r>
        <w:tab/>
      </w:r>
      <w:r w:rsidR="00B138BC" w:rsidRPr="00B138BC">
        <w:t>Закон о равенстве</w:t>
      </w:r>
    </w:p>
    <w:p w:rsidR="00B138BC" w:rsidRPr="00B138BC" w:rsidRDefault="00B138BC" w:rsidP="00B138BC">
      <w:pPr>
        <w:pStyle w:val="SingleTxtGR"/>
        <w:rPr>
          <w:b/>
        </w:rPr>
      </w:pPr>
      <w:r w:rsidRPr="00B138BC">
        <w:t>22.</w:t>
      </w:r>
      <w:r w:rsidRPr="00B138BC">
        <w:tab/>
      </w:r>
      <w:proofErr w:type="gramStart"/>
      <w:r w:rsidRPr="00B138BC">
        <w:t>Приветствуя принятие Закона о равенстве 2010 года, Комитет выражает обеспокоенность в связи с тем, что некоторые из его положений, в частности положения об укреплении защиты экономических, социальных и культурных прав без какой-либо дискриминации, еще не вступили в силу, например пол</w:t>
      </w:r>
      <w:r w:rsidRPr="00B138BC">
        <w:t>о</w:t>
      </w:r>
      <w:r w:rsidRPr="00B138BC">
        <w:t>жения об обязанности государственных органов учитывать социально-экономическое неравенство при принятии решений и положения о запрете п</w:t>
      </w:r>
      <w:r w:rsidRPr="00B138BC">
        <w:t>е</w:t>
      </w:r>
      <w:r w:rsidRPr="00B138BC">
        <w:t>рекрестной дискриминации.</w:t>
      </w:r>
      <w:proofErr w:type="gramEnd"/>
      <w:r w:rsidRPr="00B138BC">
        <w:t xml:space="preserve"> Комитет выражает сожаление также по поводу т</w:t>
      </w:r>
      <w:r w:rsidRPr="00B138BC">
        <w:t>о</w:t>
      </w:r>
      <w:r w:rsidRPr="00B138BC">
        <w:t>го, что</w:t>
      </w:r>
      <w:r w:rsidR="00DF7361" w:rsidRPr="00DF7361">
        <w:t>,</w:t>
      </w:r>
      <w:r w:rsidRPr="00B138BC">
        <w:t xml:space="preserve"> несмотря на ранее вынесенную им рекомендацию, Закон о равенстве 2010 года не применим в Северной </w:t>
      </w:r>
      <w:proofErr w:type="gramStart"/>
      <w:r w:rsidRPr="00B138BC">
        <w:t>Ирландии</w:t>
      </w:r>
      <w:proofErr w:type="gramEnd"/>
      <w:r w:rsidRPr="00B138BC">
        <w:t xml:space="preserve"> и не содержит прямого упомин</w:t>
      </w:r>
      <w:r w:rsidRPr="00B138BC">
        <w:t>а</w:t>
      </w:r>
      <w:r w:rsidRPr="00B138BC">
        <w:t>ния всех запрещенных признаков дискриминации, таких как национальность или социальное происхождение (</w:t>
      </w:r>
      <w:r w:rsidR="0028392C">
        <w:t xml:space="preserve">пункт 2 </w:t>
      </w:r>
      <w:r w:rsidRPr="00B138BC">
        <w:t>стать</w:t>
      </w:r>
      <w:r w:rsidR="0028392C">
        <w:t>и</w:t>
      </w:r>
      <w:r w:rsidRPr="00B138BC">
        <w:t xml:space="preserve"> 2).</w:t>
      </w:r>
    </w:p>
    <w:p w:rsidR="00B138BC" w:rsidRPr="0082571F" w:rsidRDefault="00B138BC" w:rsidP="00B138BC">
      <w:pPr>
        <w:pStyle w:val="SingleTxtGR"/>
        <w:rPr>
          <w:b/>
        </w:rPr>
      </w:pPr>
      <w:r w:rsidRPr="00B138BC">
        <w:t>23.</w:t>
      </w:r>
      <w:r w:rsidRPr="00B138BC">
        <w:tab/>
      </w:r>
      <w:r w:rsidRPr="0082571F">
        <w:rPr>
          <w:b/>
        </w:rPr>
        <w:t>Комитет рекомендует государству-участнику ввести в действие соо</w:t>
      </w:r>
      <w:r w:rsidRPr="0082571F">
        <w:rPr>
          <w:b/>
        </w:rPr>
        <w:t>т</w:t>
      </w:r>
      <w:r w:rsidRPr="0082571F">
        <w:rPr>
          <w:b/>
        </w:rPr>
        <w:t>ветствующие положения Закона о равенстве, касающиеся обязанности о</w:t>
      </w:r>
      <w:r w:rsidRPr="0082571F">
        <w:rPr>
          <w:b/>
        </w:rPr>
        <w:t>р</w:t>
      </w:r>
      <w:r w:rsidRPr="0082571F">
        <w:rPr>
          <w:b/>
        </w:rPr>
        <w:t xml:space="preserve">ганов государственной власти в отношении </w:t>
      </w:r>
      <w:r w:rsidR="0082571F">
        <w:rPr>
          <w:b/>
        </w:rPr>
        <w:t xml:space="preserve">борьбы с </w:t>
      </w:r>
      <w:r w:rsidRPr="0082571F">
        <w:rPr>
          <w:b/>
        </w:rPr>
        <w:t>социально-экономическ</w:t>
      </w:r>
      <w:r w:rsidR="0082571F">
        <w:rPr>
          <w:b/>
        </w:rPr>
        <w:t>им</w:t>
      </w:r>
      <w:r w:rsidRPr="0082571F">
        <w:rPr>
          <w:b/>
        </w:rPr>
        <w:t xml:space="preserve"> неравенств</w:t>
      </w:r>
      <w:r w:rsidR="0082571F">
        <w:rPr>
          <w:b/>
        </w:rPr>
        <w:t>ом</w:t>
      </w:r>
      <w:r w:rsidRPr="0082571F">
        <w:rPr>
          <w:b/>
        </w:rPr>
        <w:t xml:space="preserve"> и запрета перекрестной дискриминации, с </w:t>
      </w:r>
      <w:proofErr w:type="gramStart"/>
      <w:r w:rsidRPr="0082571F">
        <w:rPr>
          <w:b/>
        </w:rPr>
        <w:t>тем</w:t>
      </w:r>
      <w:proofErr w:type="gramEnd"/>
      <w:r w:rsidRPr="0082571F">
        <w:rPr>
          <w:b/>
        </w:rPr>
        <w:t xml:space="preserve"> чтобы укрепить и гарантировать полную и эффективную защиту от дискриминации при осуществлении экономических, социальных и кул</w:t>
      </w:r>
      <w:r w:rsidRPr="0082571F">
        <w:rPr>
          <w:b/>
        </w:rPr>
        <w:t>ь</w:t>
      </w:r>
      <w:r w:rsidRPr="0082571F">
        <w:rPr>
          <w:b/>
        </w:rPr>
        <w:t xml:space="preserve">турных прав. </w:t>
      </w:r>
      <w:proofErr w:type="gramStart"/>
      <w:r w:rsidRPr="0082571F">
        <w:rPr>
          <w:b/>
        </w:rPr>
        <w:t>Комитет напоминает о своей ранее принятой рекомендации (см. E/C.12/GBR/CO/5, пункт 16) и настоятельно призывает государство-участник обеспечить одинаковый доступ к независимому органу по вопр</w:t>
      </w:r>
      <w:r w:rsidRPr="0082571F">
        <w:rPr>
          <w:b/>
        </w:rPr>
        <w:t>о</w:t>
      </w:r>
      <w:r w:rsidRPr="0082571F">
        <w:rPr>
          <w:b/>
        </w:rPr>
        <w:t>сам равноправия и аналогичный уровень защиты  обладателям прав в случаях дискриминации по всем признакам и для всех лиц на всей терр</w:t>
      </w:r>
      <w:r w:rsidRPr="0082571F">
        <w:rPr>
          <w:b/>
        </w:rPr>
        <w:t>и</w:t>
      </w:r>
      <w:r w:rsidRPr="0082571F">
        <w:rPr>
          <w:b/>
        </w:rPr>
        <w:t>тории под юрисдикцией государства-участника, в том числе в Северной Ирландии.</w:t>
      </w:r>
      <w:proofErr w:type="gramEnd"/>
      <w:r w:rsidRPr="0082571F">
        <w:rPr>
          <w:b/>
        </w:rPr>
        <w:t xml:space="preserve"> В этой связи Комитет обращает внимание государства-участника на свое замечание общего порядка № 20 (2009) о недискримин</w:t>
      </w:r>
      <w:r w:rsidRPr="0082571F">
        <w:rPr>
          <w:b/>
        </w:rPr>
        <w:t>а</w:t>
      </w:r>
      <w:r w:rsidRPr="0082571F">
        <w:rPr>
          <w:b/>
        </w:rPr>
        <w:t xml:space="preserve">ции </w:t>
      </w:r>
      <w:r w:rsidR="0082571F">
        <w:rPr>
          <w:b/>
        </w:rPr>
        <w:t xml:space="preserve">в области осуществления </w:t>
      </w:r>
      <w:r w:rsidRPr="0082571F">
        <w:rPr>
          <w:b/>
        </w:rPr>
        <w:t>экономических, социальных и культурных прав.</w:t>
      </w:r>
    </w:p>
    <w:p w:rsidR="00B138BC" w:rsidRPr="00B138BC" w:rsidRDefault="0082571F" w:rsidP="0082571F">
      <w:pPr>
        <w:pStyle w:val="H23GR"/>
      </w:pPr>
      <w:r>
        <w:tab/>
      </w:r>
      <w:r>
        <w:tab/>
      </w:r>
      <w:r w:rsidR="00B138BC" w:rsidRPr="00B138BC">
        <w:t>Просители убежища</w:t>
      </w:r>
    </w:p>
    <w:p w:rsidR="00B138BC" w:rsidRPr="00B138BC" w:rsidRDefault="00B138BC" w:rsidP="00B138BC">
      <w:pPr>
        <w:pStyle w:val="SingleTxtGR"/>
      </w:pPr>
      <w:r w:rsidRPr="00B138BC">
        <w:t>24.</w:t>
      </w:r>
      <w:r w:rsidRPr="00B138BC">
        <w:tab/>
        <w:t>Комитет обеспокоен трудностями, которые испытывают просители уб</w:t>
      </w:r>
      <w:r w:rsidRPr="00B138BC">
        <w:t>е</w:t>
      </w:r>
      <w:r w:rsidRPr="00B138BC">
        <w:t>жища в осуществлении экономических, социальных и культурных прав, ос</w:t>
      </w:r>
      <w:r w:rsidRPr="00B138BC">
        <w:t>о</w:t>
      </w:r>
      <w:r w:rsidRPr="00B138BC">
        <w:t>бенно трудностями в связи с ограничениями при найме на работу и недостато</w:t>
      </w:r>
      <w:r w:rsidRPr="00B138BC">
        <w:t>ч</w:t>
      </w:r>
      <w:r w:rsidRPr="00B138BC">
        <w:t>ным уровнем поддержки, оказываемой в форме ежедневного пособия (пункты 2 и 11 статьи 2).</w:t>
      </w:r>
    </w:p>
    <w:p w:rsidR="00B138BC" w:rsidRPr="0082571F" w:rsidRDefault="00B138BC" w:rsidP="00B138BC">
      <w:pPr>
        <w:pStyle w:val="SingleTxtGR"/>
        <w:rPr>
          <w:b/>
        </w:rPr>
      </w:pPr>
      <w:r w:rsidRPr="00B138BC">
        <w:t>25.</w:t>
      </w:r>
      <w:r w:rsidRPr="00B138BC">
        <w:tab/>
      </w:r>
      <w:r w:rsidRPr="0082571F">
        <w:rPr>
          <w:b/>
        </w:rPr>
        <w:t>Комитет рекомендует государству-участнику увеличить уровень по</w:t>
      </w:r>
      <w:r w:rsidRPr="0082571F">
        <w:rPr>
          <w:b/>
        </w:rPr>
        <w:t>д</w:t>
      </w:r>
      <w:r w:rsidRPr="0082571F">
        <w:rPr>
          <w:b/>
        </w:rPr>
        <w:t>держки просителей убежища, в том числе оказываемой в форме ежедневн</w:t>
      </w:r>
      <w:r w:rsidRPr="0082571F">
        <w:rPr>
          <w:b/>
        </w:rPr>
        <w:t>о</w:t>
      </w:r>
      <w:r w:rsidRPr="0082571F">
        <w:rPr>
          <w:b/>
        </w:rPr>
        <w:t xml:space="preserve">го пособия, с </w:t>
      </w:r>
      <w:proofErr w:type="gramStart"/>
      <w:r w:rsidRPr="0082571F">
        <w:rPr>
          <w:b/>
        </w:rPr>
        <w:t>тем</w:t>
      </w:r>
      <w:proofErr w:type="gramEnd"/>
      <w:r w:rsidRPr="0082571F">
        <w:rPr>
          <w:b/>
        </w:rPr>
        <w:t xml:space="preserve"> чтобы обеспечить им возможность пользоваться их эк</w:t>
      </w:r>
      <w:r w:rsidRPr="0082571F">
        <w:rPr>
          <w:b/>
        </w:rPr>
        <w:t>о</w:t>
      </w:r>
      <w:r w:rsidRPr="0082571F">
        <w:rPr>
          <w:b/>
        </w:rPr>
        <w:t>номическими, социальными и культурными правами, в частности правом на достаточный жизненный уровень. Комитет повторно выносит ранее сд</w:t>
      </w:r>
      <w:r w:rsidRPr="0082571F">
        <w:rPr>
          <w:b/>
        </w:rPr>
        <w:t>е</w:t>
      </w:r>
      <w:r w:rsidRPr="0082571F">
        <w:rPr>
          <w:b/>
        </w:rPr>
        <w:t>ланную им рекомендацию (см. E/C.12/GBR/CO/5, пункт 27) и призывает государство-участник не ограничивать просителям убежища доступ к з</w:t>
      </w:r>
      <w:r w:rsidRPr="0082571F">
        <w:rPr>
          <w:b/>
        </w:rPr>
        <w:t>а</w:t>
      </w:r>
      <w:r w:rsidRPr="0082571F">
        <w:rPr>
          <w:b/>
        </w:rPr>
        <w:t>нятости в период рассмотрения их ходатайства о предоставлении убежища.</w:t>
      </w:r>
    </w:p>
    <w:p w:rsidR="00B138BC" w:rsidRPr="00B138BC" w:rsidRDefault="0082571F" w:rsidP="0082571F">
      <w:pPr>
        <w:pStyle w:val="H23GR"/>
      </w:pPr>
      <w:r>
        <w:tab/>
      </w:r>
      <w:r>
        <w:tab/>
      </w:r>
      <w:r w:rsidR="00B138BC" w:rsidRPr="00B138BC">
        <w:t>Равенство мужчин и женщин</w:t>
      </w:r>
    </w:p>
    <w:p w:rsidR="00B138BC" w:rsidRPr="00B138BC" w:rsidRDefault="00B138BC" w:rsidP="00B138BC">
      <w:pPr>
        <w:pStyle w:val="SingleTxtGR"/>
      </w:pPr>
      <w:r w:rsidRPr="00B138BC">
        <w:t>26.</w:t>
      </w:r>
      <w:r w:rsidRPr="00B138BC">
        <w:tab/>
        <w:t>Комитет обеспокоен тем, что женщины по-прежнему недостаточно пре</w:t>
      </w:r>
      <w:r w:rsidRPr="00B138BC">
        <w:t>д</w:t>
      </w:r>
      <w:r w:rsidRPr="00B138BC">
        <w:t xml:space="preserve">ставлены на руководящих должностях в государственном и частном секторах. Принимая к сведению тот факт, что государственные органы обязаны сообщать о гендерном неравенстве и осуществлять программу </w:t>
      </w:r>
      <w:r w:rsidR="00D841D3">
        <w:t>«</w:t>
      </w:r>
      <w:r w:rsidRPr="00B138BC">
        <w:t>Думай, действуй, соо</w:t>
      </w:r>
      <w:r w:rsidRPr="00B138BC">
        <w:t>б</w:t>
      </w:r>
      <w:r w:rsidRPr="00B138BC">
        <w:t>щай</w:t>
      </w:r>
      <w:r w:rsidR="00D841D3">
        <w:t>»</w:t>
      </w:r>
      <w:r w:rsidRPr="00B138BC">
        <w:t>, Комитет вместе с тем обеспокоен значительной разницей в оплате труда мужчин и женщин, особенно в Шотландии (статья 3).</w:t>
      </w:r>
    </w:p>
    <w:p w:rsidR="00B138BC" w:rsidRPr="0082571F" w:rsidRDefault="00B138BC" w:rsidP="00B138BC">
      <w:pPr>
        <w:pStyle w:val="SingleTxtGR"/>
        <w:rPr>
          <w:b/>
        </w:rPr>
      </w:pPr>
      <w:r w:rsidRPr="00B138BC">
        <w:t>27.</w:t>
      </w:r>
      <w:r w:rsidRPr="00B138BC">
        <w:tab/>
      </w:r>
      <w:r w:rsidRPr="0082571F">
        <w:rPr>
          <w:b/>
        </w:rPr>
        <w:t>Комитет рекомендует государству-участнику:</w:t>
      </w:r>
    </w:p>
    <w:p w:rsidR="00B138BC" w:rsidRPr="0082571F" w:rsidRDefault="0082571F" w:rsidP="00B138BC">
      <w:pPr>
        <w:pStyle w:val="SingleTxtGR"/>
        <w:rPr>
          <w:b/>
        </w:rPr>
      </w:pPr>
      <w:r w:rsidRPr="0082571F">
        <w:rPr>
          <w:b/>
        </w:rPr>
        <w:tab/>
      </w:r>
      <w:r w:rsidR="00B138BC" w:rsidRPr="0082571F">
        <w:rPr>
          <w:b/>
        </w:rPr>
        <w:t>а)</w:t>
      </w:r>
      <w:r w:rsidR="00B138BC" w:rsidRPr="0082571F">
        <w:rPr>
          <w:b/>
        </w:rPr>
        <w:tab/>
        <w:t xml:space="preserve">активизировать усилия, направленные на увеличение числа женщин на руководящих </w:t>
      </w:r>
      <w:proofErr w:type="gramStart"/>
      <w:r w:rsidR="00B138BC" w:rsidRPr="0082571F">
        <w:rPr>
          <w:b/>
        </w:rPr>
        <w:t>должностях</w:t>
      </w:r>
      <w:proofErr w:type="gramEnd"/>
      <w:r w:rsidR="00B138BC" w:rsidRPr="0082571F">
        <w:rPr>
          <w:b/>
        </w:rPr>
        <w:t xml:space="preserve"> как в государственном, так и в час</w:t>
      </w:r>
      <w:r w:rsidR="00B138BC" w:rsidRPr="0082571F">
        <w:rPr>
          <w:b/>
        </w:rPr>
        <w:t>т</w:t>
      </w:r>
      <w:r w:rsidR="00B138BC" w:rsidRPr="0082571F">
        <w:rPr>
          <w:b/>
        </w:rPr>
        <w:t>ном секторе;</w:t>
      </w:r>
    </w:p>
    <w:p w:rsidR="00B138BC" w:rsidRPr="0082571F" w:rsidRDefault="0082571F" w:rsidP="00B138BC">
      <w:pPr>
        <w:pStyle w:val="SingleTxtGR"/>
        <w:rPr>
          <w:b/>
        </w:rPr>
      </w:pPr>
      <w:r w:rsidRPr="0082571F">
        <w:rPr>
          <w:b/>
        </w:rPr>
        <w:tab/>
      </w:r>
      <w:r w:rsidR="00B138BC" w:rsidRPr="0082571F">
        <w:rPr>
          <w:b/>
        </w:rPr>
        <w:t>b)</w:t>
      </w:r>
      <w:r w:rsidR="00B138BC" w:rsidRPr="0082571F">
        <w:rPr>
          <w:b/>
        </w:rPr>
        <w:tab/>
        <w:t>принять эффективные меры для ликвидации сохраняющейся разницы в оплате труда мужчин и женщин, в том числе путем противоде</w:t>
      </w:r>
      <w:r w:rsidR="00B138BC" w:rsidRPr="0082571F">
        <w:rPr>
          <w:b/>
        </w:rPr>
        <w:t>й</w:t>
      </w:r>
      <w:r w:rsidR="00B138BC" w:rsidRPr="0082571F">
        <w:rPr>
          <w:b/>
        </w:rPr>
        <w:t>ствия вертикальной и горизонтальной сегрегации на рынке труда, в р</w:t>
      </w:r>
      <w:r w:rsidR="00B138BC" w:rsidRPr="0082571F">
        <w:rPr>
          <w:b/>
        </w:rPr>
        <w:t>е</w:t>
      </w:r>
      <w:r w:rsidR="00B138BC" w:rsidRPr="0082571F">
        <w:rPr>
          <w:b/>
        </w:rPr>
        <w:t>зультате которой женщины выполняют более низкооплачиваемую работу и не могут пользоваться наравне с мужчинами такими же возможностями карьерного роста;</w:t>
      </w:r>
    </w:p>
    <w:p w:rsidR="00B138BC" w:rsidRPr="0082571F" w:rsidRDefault="0082571F" w:rsidP="00B138BC">
      <w:pPr>
        <w:pStyle w:val="SingleTxtGR"/>
        <w:rPr>
          <w:b/>
        </w:rPr>
      </w:pPr>
      <w:r w:rsidRPr="0082571F">
        <w:rPr>
          <w:b/>
        </w:rPr>
        <w:tab/>
      </w:r>
      <w:r w:rsidR="00B138BC" w:rsidRPr="0082571F">
        <w:rPr>
          <w:b/>
        </w:rPr>
        <w:t>c)</w:t>
      </w:r>
      <w:r w:rsidR="00B138BC" w:rsidRPr="0082571F">
        <w:rPr>
          <w:b/>
        </w:rPr>
        <w:tab/>
        <w:t>активизировать усилия, направленные на обеспечение равного вознаграждения за труд равной ценности без какого бы то ни было разл</w:t>
      </w:r>
      <w:r w:rsidR="00B138BC" w:rsidRPr="0082571F">
        <w:rPr>
          <w:b/>
        </w:rPr>
        <w:t>и</w:t>
      </w:r>
      <w:r w:rsidR="00B138BC" w:rsidRPr="0082571F">
        <w:rPr>
          <w:b/>
        </w:rPr>
        <w:t>чия.</w:t>
      </w:r>
    </w:p>
    <w:p w:rsidR="00B138BC" w:rsidRPr="0028392C" w:rsidRDefault="00B138BC" w:rsidP="00B138BC">
      <w:pPr>
        <w:pStyle w:val="SingleTxtGR"/>
        <w:rPr>
          <w:b/>
        </w:rPr>
      </w:pPr>
      <w:r w:rsidRPr="00B138BC">
        <w:t>28.</w:t>
      </w:r>
      <w:r w:rsidRPr="00B138BC">
        <w:tab/>
      </w:r>
      <w:r w:rsidRPr="0028392C">
        <w:rPr>
          <w:b/>
        </w:rPr>
        <w:t>Комитет обращает внимание государства-участника на свое замеч</w:t>
      </w:r>
      <w:r w:rsidRPr="0028392C">
        <w:rPr>
          <w:b/>
        </w:rPr>
        <w:t>а</w:t>
      </w:r>
      <w:r w:rsidRPr="0028392C">
        <w:rPr>
          <w:b/>
        </w:rPr>
        <w:t>ние общего порядка № 16 (2005) о равном для мужчин и женщин праве пользования всеми экономическими, социальными и культурными прав</w:t>
      </w:r>
      <w:r w:rsidRPr="0028392C">
        <w:rPr>
          <w:b/>
        </w:rPr>
        <w:t>а</w:t>
      </w:r>
      <w:r w:rsidRPr="0028392C">
        <w:rPr>
          <w:b/>
        </w:rPr>
        <w:t>ми.</w:t>
      </w:r>
    </w:p>
    <w:p w:rsidR="00B138BC" w:rsidRPr="00B138BC" w:rsidRDefault="0082571F" w:rsidP="0082571F">
      <w:pPr>
        <w:pStyle w:val="H23GR"/>
      </w:pPr>
      <w:r>
        <w:tab/>
      </w:r>
      <w:r>
        <w:tab/>
      </w:r>
      <w:r w:rsidR="00B138BC" w:rsidRPr="00B138BC">
        <w:t>Безработица</w:t>
      </w:r>
    </w:p>
    <w:p w:rsidR="00B138BC" w:rsidRPr="00B138BC" w:rsidRDefault="00B138BC" w:rsidP="00B138BC">
      <w:pPr>
        <w:pStyle w:val="SingleTxtGR"/>
      </w:pPr>
      <w:r w:rsidRPr="00B138BC">
        <w:t>29.</w:t>
      </w:r>
      <w:r w:rsidRPr="00B138BC">
        <w:tab/>
        <w:t>Комитет обеспокоен тем, что</w:t>
      </w:r>
      <w:r w:rsidR="0028392C">
        <w:t>,</w:t>
      </w:r>
      <w:r w:rsidRPr="00B138BC">
        <w:t xml:space="preserve"> несмотря на увеличение занятости, уровень безработицы среди некоторых находящихся в неблагоприятном положении и маргинализированных лиц и групп, включая инвалидов, молодежь и лиц, пр</w:t>
      </w:r>
      <w:r w:rsidRPr="00B138BC">
        <w:t>и</w:t>
      </w:r>
      <w:r w:rsidRPr="00B138BC">
        <w:t>надлежащих к этническим, религиозным или другим меньшинствам, по-прежнему выше, чем среди других групп населения (статья 6).</w:t>
      </w:r>
    </w:p>
    <w:p w:rsidR="00B138BC" w:rsidRPr="0082571F" w:rsidRDefault="00B138BC" w:rsidP="00B138BC">
      <w:pPr>
        <w:pStyle w:val="SingleTxtGR"/>
        <w:rPr>
          <w:b/>
        </w:rPr>
      </w:pPr>
      <w:r w:rsidRPr="00B138BC">
        <w:t>30.</w:t>
      </w:r>
      <w:r w:rsidRPr="00B138BC">
        <w:tab/>
      </w:r>
      <w:proofErr w:type="gramStart"/>
      <w:r w:rsidRPr="0082571F">
        <w:rPr>
          <w:b/>
        </w:rPr>
        <w:t>Напоминая о ранее вынесенных им рекомендациях (см. E/C.12/GBR/</w:t>
      </w:r>
      <w:r w:rsidR="0082571F">
        <w:rPr>
          <w:b/>
        </w:rPr>
        <w:br/>
      </w:r>
      <w:r w:rsidRPr="0082571F">
        <w:rPr>
          <w:b/>
        </w:rPr>
        <w:t>CO/5, пункты 20 и 21), Комитет рекомендует государству-участнику пер</w:t>
      </w:r>
      <w:r w:rsidRPr="0082571F">
        <w:rPr>
          <w:b/>
        </w:rPr>
        <w:t>е</w:t>
      </w:r>
      <w:r w:rsidRPr="0082571F">
        <w:rPr>
          <w:b/>
        </w:rPr>
        <w:t>смотреть его политику в области занятости с целью устранения коренных причин безработицы и включить в свой план действий цели и сроки их осуществления, в которых особое внимание уделялось бы группам насел</w:t>
      </w:r>
      <w:r w:rsidRPr="0082571F">
        <w:rPr>
          <w:b/>
        </w:rPr>
        <w:t>е</w:t>
      </w:r>
      <w:r w:rsidRPr="0082571F">
        <w:rPr>
          <w:b/>
        </w:rPr>
        <w:t>ния, в непропорционально большей степени затронутых безработицей, т</w:t>
      </w:r>
      <w:r w:rsidRPr="0082571F">
        <w:rPr>
          <w:b/>
        </w:rPr>
        <w:t>а</w:t>
      </w:r>
      <w:r w:rsidRPr="0082571F">
        <w:rPr>
          <w:b/>
        </w:rPr>
        <w:t>ким как молодежь</w:t>
      </w:r>
      <w:proofErr w:type="gramEnd"/>
      <w:r w:rsidRPr="0082571F">
        <w:rPr>
          <w:b/>
        </w:rPr>
        <w:t>, инвалиды и лица, принадлежащие к этническим, рел</w:t>
      </w:r>
      <w:r w:rsidRPr="0082571F">
        <w:rPr>
          <w:b/>
        </w:rPr>
        <w:t>и</w:t>
      </w:r>
      <w:r w:rsidRPr="0082571F">
        <w:rPr>
          <w:b/>
        </w:rPr>
        <w:t>гиозным или другим меньшинствам.</w:t>
      </w:r>
    </w:p>
    <w:p w:rsidR="00B138BC" w:rsidRPr="00B138BC" w:rsidRDefault="0082571F" w:rsidP="0082571F">
      <w:pPr>
        <w:pStyle w:val="H23GR"/>
      </w:pPr>
      <w:r>
        <w:tab/>
      </w:r>
      <w:r>
        <w:tab/>
      </w:r>
      <w:r w:rsidR="00B138BC" w:rsidRPr="00B138BC">
        <w:t>Условия труда</w:t>
      </w:r>
    </w:p>
    <w:p w:rsidR="00B138BC" w:rsidRPr="00B138BC" w:rsidRDefault="00B138BC" w:rsidP="00B138BC">
      <w:pPr>
        <w:pStyle w:val="SingleTxtGR"/>
      </w:pPr>
      <w:r w:rsidRPr="00B138BC">
        <w:t>31.</w:t>
      </w:r>
      <w:r w:rsidRPr="00B138BC">
        <w:tab/>
        <w:t>Комитет обеспокоен тем, что в государстве-участнике высок уровень н</w:t>
      </w:r>
      <w:r w:rsidRPr="00B138BC">
        <w:t>е</w:t>
      </w:r>
      <w:r w:rsidRPr="00B138BC">
        <w:t xml:space="preserve">полной занятости, нестабильной </w:t>
      </w:r>
      <w:proofErr w:type="spellStart"/>
      <w:r w:rsidRPr="00B138BC">
        <w:t>самозанятости</w:t>
      </w:r>
      <w:proofErr w:type="spellEnd"/>
      <w:r w:rsidRPr="00B138BC">
        <w:t>, временной занятости и ра</w:t>
      </w:r>
      <w:r w:rsidRPr="00B138BC">
        <w:t>с</w:t>
      </w:r>
      <w:r w:rsidRPr="00B138BC">
        <w:t>пространенности трудовых договоров, не гарантирующих минимального кол</w:t>
      </w:r>
      <w:r w:rsidRPr="00B138BC">
        <w:t>и</w:t>
      </w:r>
      <w:r w:rsidRPr="00B138BC">
        <w:t>чества рабочих часов, что особенно затрагивает женщин. Он обеспокоен также негативными последствиями, которые все эти формы занятости имеют для осуществления трудящимися их права на справедливые и благоприятные усл</w:t>
      </w:r>
      <w:r w:rsidRPr="00B138BC">
        <w:t>о</w:t>
      </w:r>
      <w:r w:rsidRPr="00B138BC">
        <w:t>вия труда. Кроме того, Комитет испытывает обеспокоенность в связи с бол</w:t>
      </w:r>
      <w:r w:rsidRPr="00B138BC">
        <w:t>ь</w:t>
      </w:r>
      <w:r w:rsidRPr="00B138BC">
        <w:t>шим количеством низкооплачиваемых рабочих мест, концентрация которых особенно высока в некоторых секторах, таких как услуги по уборке и уход на дому (стать</w:t>
      </w:r>
      <w:r w:rsidR="0028392C">
        <w:t>и</w:t>
      </w:r>
      <w:r w:rsidRPr="00B138BC">
        <w:t xml:space="preserve"> 6</w:t>
      </w:r>
      <w:r w:rsidR="0028392C">
        <w:t>–</w:t>
      </w:r>
      <w:r w:rsidRPr="00B138BC">
        <w:t>8).</w:t>
      </w:r>
    </w:p>
    <w:p w:rsidR="00B138BC" w:rsidRPr="0082571F" w:rsidRDefault="00B138BC" w:rsidP="00B138BC">
      <w:pPr>
        <w:pStyle w:val="SingleTxtGR"/>
        <w:rPr>
          <w:b/>
        </w:rPr>
      </w:pPr>
      <w:r w:rsidRPr="00B138BC">
        <w:t>32.</w:t>
      </w:r>
      <w:r w:rsidRPr="00B138BC">
        <w:tab/>
      </w:r>
      <w:r w:rsidRPr="0082571F">
        <w:rPr>
          <w:b/>
        </w:rPr>
        <w:t>Комитет рекомендует государству-участнику:</w:t>
      </w:r>
    </w:p>
    <w:p w:rsidR="00B138BC" w:rsidRPr="0082571F" w:rsidRDefault="0082571F" w:rsidP="00B138BC">
      <w:pPr>
        <w:pStyle w:val="SingleTxtGR"/>
        <w:rPr>
          <w:b/>
        </w:rPr>
      </w:pPr>
      <w:r w:rsidRPr="0082571F">
        <w:rPr>
          <w:b/>
        </w:rPr>
        <w:tab/>
      </w:r>
      <w:r w:rsidR="00B138BC" w:rsidRPr="0082571F">
        <w:rPr>
          <w:b/>
        </w:rPr>
        <w:t>а)</w:t>
      </w:r>
      <w:r w:rsidR="00B138BC" w:rsidRPr="0082571F">
        <w:rPr>
          <w:b/>
        </w:rPr>
        <w:tab/>
        <w:t xml:space="preserve">принять все надлежащие меры для постепенного сокращения временной занятости, нестабильной </w:t>
      </w:r>
      <w:proofErr w:type="spellStart"/>
      <w:r w:rsidR="00B138BC" w:rsidRPr="0082571F">
        <w:rPr>
          <w:b/>
        </w:rPr>
        <w:t>самозанятости</w:t>
      </w:r>
      <w:proofErr w:type="spellEnd"/>
      <w:r w:rsidR="00B138BC" w:rsidRPr="0082571F">
        <w:rPr>
          <w:b/>
        </w:rPr>
        <w:t xml:space="preserve"> и использования тр</w:t>
      </w:r>
      <w:r w:rsidR="00B138BC" w:rsidRPr="0082571F">
        <w:rPr>
          <w:b/>
        </w:rPr>
        <w:t>у</w:t>
      </w:r>
      <w:r w:rsidR="00B138BC" w:rsidRPr="0082571F">
        <w:rPr>
          <w:b/>
        </w:rPr>
        <w:t xml:space="preserve">довых договоров, не гарантирующих минимального количества рабочих часов, в том числе путем создания рабочих мест с достойными условиями труда, гарантиями занятости и надлежащей защитой трудовых прав; </w:t>
      </w:r>
    </w:p>
    <w:p w:rsidR="00B138BC" w:rsidRPr="0082571F" w:rsidRDefault="0082571F" w:rsidP="00B138BC">
      <w:pPr>
        <w:pStyle w:val="SingleTxtGR"/>
        <w:rPr>
          <w:b/>
        </w:rPr>
      </w:pPr>
      <w:r w:rsidRPr="0082571F">
        <w:rPr>
          <w:b/>
        </w:rPr>
        <w:tab/>
      </w:r>
      <w:r w:rsidR="00B138BC" w:rsidRPr="0082571F">
        <w:rPr>
          <w:b/>
        </w:rPr>
        <w:t>b)</w:t>
      </w:r>
      <w:r w:rsidR="00B138BC" w:rsidRPr="0082571F">
        <w:rPr>
          <w:b/>
        </w:rPr>
        <w:tab/>
        <w:t xml:space="preserve">обеспечить де-юре и де-факто полные гарантии трудовых прав и прав на социальное обеспечение лиц, работающих неполный рабочий день, </w:t>
      </w:r>
      <w:proofErr w:type="spellStart"/>
      <w:r w:rsidR="00B138BC" w:rsidRPr="0082571F">
        <w:rPr>
          <w:b/>
        </w:rPr>
        <w:t>самозанятых</w:t>
      </w:r>
      <w:proofErr w:type="spellEnd"/>
      <w:r w:rsidR="00B138BC" w:rsidRPr="0082571F">
        <w:rPr>
          <w:b/>
        </w:rPr>
        <w:t xml:space="preserve"> в нестабильных условиях, работающих по срочным трудовым договорам и трудовым договорам, не гарантирующим мин</w:t>
      </w:r>
      <w:r w:rsidR="00B138BC" w:rsidRPr="0082571F">
        <w:rPr>
          <w:b/>
        </w:rPr>
        <w:t>и</w:t>
      </w:r>
      <w:r w:rsidR="00B138BC" w:rsidRPr="0082571F">
        <w:rPr>
          <w:b/>
        </w:rPr>
        <w:t>мального количества рабочих часов.</w:t>
      </w:r>
    </w:p>
    <w:p w:rsidR="00B138BC" w:rsidRPr="0028392C" w:rsidRDefault="00B138BC" w:rsidP="00B138BC">
      <w:pPr>
        <w:pStyle w:val="SingleTxtGR"/>
        <w:rPr>
          <w:b/>
        </w:rPr>
      </w:pPr>
      <w:r w:rsidRPr="00B138BC">
        <w:t>33.</w:t>
      </w:r>
      <w:r w:rsidRPr="00B138BC">
        <w:tab/>
      </w:r>
      <w:r w:rsidRPr="0028392C">
        <w:rPr>
          <w:b/>
        </w:rPr>
        <w:t>Комитет обращает внимание государства-участника на свое замеч</w:t>
      </w:r>
      <w:r w:rsidRPr="0028392C">
        <w:rPr>
          <w:b/>
        </w:rPr>
        <w:t>а</w:t>
      </w:r>
      <w:r w:rsidRPr="0028392C">
        <w:rPr>
          <w:b/>
        </w:rPr>
        <w:t>ние общего порядка № 23 (2016) о праве на справедливые и благоприятные условия труда.</w:t>
      </w:r>
    </w:p>
    <w:p w:rsidR="00B138BC" w:rsidRPr="00B138BC" w:rsidRDefault="0082571F" w:rsidP="0082571F">
      <w:pPr>
        <w:pStyle w:val="H23GR"/>
      </w:pPr>
      <w:r>
        <w:tab/>
      </w:r>
      <w:r>
        <w:tab/>
      </w:r>
      <w:r w:rsidR="00B138BC" w:rsidRPr="00B138BC">
        <w:t>Условия труда трудящихся-мигрантов</w:t>
      </w:r>
    </w:p>
    <w:p w:rsidR="00B138BC" w:rsidRPr="00B138BC" w:rsidRDefault="00B138BC" w:rsidP="00B138BC">
      <w:pPr>
        <w:pStyle w:val="SingleTxtGR"/>
      </w:pPr>
      <w:r w:rsidRPr="00B138BC">
        <w:t>34.</w:t>
      </w:r>
      <w:r w:rsidRPr="00B138BC">
        <w:tab/>
        <w:t>Комитет по-прежнему обеспокоен сохраняющейся на рынке труда ди</w:t>
      </w:r>
      <w:r w:rsidRPr="00B138BC">
        <w:t>с</w:t>
      </w:r>
      <w:r w:rsidRPr="00B138BC">
        <w:t>криминацией в отношении трудящихся-мигрантов. В частности, он обеспокоен высокой, продолжающей расти долей мигрантов, трудящихся на низкооплач</w:t>
      </w:r>
      <w:r w:rsidRPr="00B138BC">
        <w:t>и</w:t>
      </w:r>
      <w:r w:rsidR="0028392C">
        <w:t>ваемых рабочих местах</w:t>
      </w:r>
      <w:r w:rsidRPr="00B138BC">
        <w:t xml:space="preserve"> и тем фактом, что мигранты, работающие в качестве домашней прислуги, подвергаются более высокому риску труда в ненадлеж</w:t>
      </w:r>
      <w:r w:rsidRPr="00B138BC">
        <w:t>а</w:t>
      </w:r>
      <w:r w:rsidRPr="00B138BC">
        <w:t>щих условиях (статья 7).</w:t>
      </w:r>
    </w:p>
    <w:p w:rsidR="00B138BC" w:rsidRPr="007C0869" w:rsidRDefault="00B138BC" w:rsidP="00B138BC">
      <w:pPr>
        <w:pStyle w:val="SingleTxtGR"/>
        <w:rPr>
          <w:b/>
        </w:rPr>
      </w:pPr>
      <w:r w:rsidRPr="00B138BC">
        <w:t>35.</w:t>
      </w:r>
      <w:r w:rsidRPr="00B138BC">
        <w:tab/>
      </w:r>
      <w:r w:rsidRPr="007C0869">
        <w:rPr>
          <w:b/>
        </w:rPr>
        <w:t>Комитет напоминает о своей ранее вынесенной рекомендации (E/C.12/GBR/CO/5, пункт 22) и настоятельно призывает государство-участник:</w:t>
      </w:r>
    </w:p>
    <w:p w:rsidR="00B138BC" w:rsidRPr="007C0869" w:rsidRDefault="007C0869" w:rsidP="00B138BC">
      <w:pPr>
        <w:pStyle w:val="SingleTxtGR"/>
        <w:rPr>
          <w:b/>
        </w:rPr>
      </w:pPr>
      <w:r w:rsidRPr="007C0869">
        <w:rPr>
          <w:b/>
        </w:rPr>
        <w:tab/>
      </w:r>
      <w:r w:rsidR="00B138BC" w:rsidRPr="007C0869">
        <w:rPr>
          <w:b/>
        </w:rPr>
        <w:t>а)</w:t>
      </w:r>
      <w:r w:rsidR="00B138BC" w:rsidRPr="007C0869">
        <w:rPr>
          <w:b/>
        </w:rPr>
        <w:tab/>
        <w:t xml:space="preserve">принять все необходимые меры, с </w:t>
      </w:r>
      <w:proofErr w:type="gramStart"/>
      <w:r w:rsidR="00B138BC" w:rsidRPr="007C0869">
        <w:rPr>
          <w:b/>
        </w:rPr>
        <w:t>тем</w:t>
      </w:r>
      <w:proofErr w:type="gramEnd"/>
      <w:r w:rsidR="00B138BC" w:rsidRPr="007C0869">
        <w:rPr>
          <w:b/>
        </w:rPr>
        <w:t xml:space="preserve"> чтобы обеспечить всем трудящимся-мигрантам, в том числе работающим в качестве домашней прислуги, равные с условиями других работников условия в части оплаты труда, защиты от несправедливого увольнения, отдыха и досуга, огранич</w:t>
      </w:r>
      <w:r w:rsidR="00B138BC" w:rsidRPr="007C0869">
        <w:rPr>
          <w:b/>
        </w:rPr>
        <w:t>е</w:t>
      </w:r>
      <w:r w:rsidR="00B138BC" w:rsidRPr="007C0869">
        <w:rPr>
          <w:b/>
        </w:rPr>
        <w:t>ния рабочего времени, социального обеспечения и права на отпуск по б</w:t>
      </w:r>
      <w:r w:rsidR="00B138BC" w:rsidRPr="007C0869">
        <w:rPr>
          <w:b/>
        </w:rPr>
        <w:t>е</w:t>
      </w:r>
      <w:r w:rsidR="00B138BC" w:rsidRPr="007C0869">
        <w:rPr>
          <w:b/>
        </w:rPr>
        <w:t>ременности и родам;</w:t>
      </w:r>
    </w:p>
    <w:p w:rsidR="00B138BC" w:rsidRPr="007C0869" w:rsidRDefault="007C0869" w:rsidP="00B138BC">
      <w:pPr>
        <w:pStyle w:val="SingleTxtGR"/>
        <w:rPr>
          <w:b/>
        </w:rPr>
      </w:pPr>
      <w:r w:rsidRPr="007C0869">
        <w:rPr>
          <w:b/>
        </w:rPr>
        <w:tab/>
      </w:r>
      <w:r w:rsidR="00B138BC" w:rsidRPr="007C0869">
        <w:rPr>
          <w:b/>
        </w:rPr>
        <w:t>b)</w:t>
      </w:r>
      <w:r w:rsidR="00B138BC" w:rsidRPr="007C0869">
        <w:rPr>
          <w:b/>
        </w:rPr>
        <w:tab/>
        <w:t>защитить трудящихся-мигрантов и мигрантов, работающих в качестве домашней прислуги, от всех форм эксплуатации и жестокого о</w:t>
      </w:r>
      <w:r w:rsidR="00B138BC" w:rsidRPr="007C0869">
        <w:rPr>
          <w:b/>
        </w:rPr>
        <w:t>б</w:t>
      </w:r>
      <w:r w:rsidR="00B138BC" w:rsidRPr="007C0869">
        <w:rPr>
          <w:b/>
        </w:rPr>
        <w:t>ращения, в том числе посредством эффективного осуществления Закона о современном рабстве 2015 года;</w:t>
      </w:r>
    </w:p>
    <w:p w:rsidR="00B138BC" w:rsidRPr="007C0869" w:rsidRDefault="007C0869" w:rsidP="00B138BC">
      <w:pPr>
        <w:pStyle w:val="SingleTxtGR"/>
        <w:rPr>
          <w:b/>
          <w:bCs/>
        </w:rPr>
      </w:pPr>
      <w:r w:rsidRPr="007C0869">
        <w:rPr>
          <w:b/>
        </w:rPr>
        <w:tab/>
      </w:r>
      <w:r w:rsidR="00B138BC" w:rsidRPr="007C0869">
        <w:rPr>
          <w:b/>
        </w:rPr>
        <w:t>c)</w:t>
      </w:r>
      <w:r w:rsidR="00B138BC" w:rsidRPr="007C0869">
        <w:rPr>
          <w:b/>
        </w:rPr>
        <w:tab/>
        <w:t>усовершенствовать механизм подачи жалоб и правовой пом</w:t>
      </w:r>
      <w:r w:rsidR="00B138BC" w:rsidRPr="007C0869">
        <w:rPr>
          <w:b/>
        </w:rPr>
        <w:t>о</w:t>
      </w:r>
      <w:r w:rsidR="00B138BC" w:rsidRPr="007C0869">
        <w:rPr>
          <w:b/>
        </w:rPr>
        <w:t xml:space="preserve">щи, предоставляемой трудящимся-мигрантам; </w:t>
      </w:r>
    </w:p>
    <w:p w:rsidR="00B138BC" w:rsidRPr="007C0869" w:rsidRDefault="007C0869" w:rsidP="00B138BC">
      <w:pPr>
        <w:pStyle w:val="SingleTxtGR"/>
        <w:rPr>
          <w:b/>
          <w:bCs/>
        </w:rPr>
      </w:pPr>
      <w:r w:rsidRPr="007C0869">
        <w:rPr>
          <w:b/>
        </w:rPr>
        <w:tab/>
      </w:r>
      <w:r w:rsidR="00B138BC" w:rsidRPr="007C0869">
        <w:rPr>
          <w:b/>
        </w:rPr>
        <w:t>d)</w:t>
      </w:r>
      <w:r w:rsidR="00B138BC" w:rsidRPr="007C0869">
        <w:rPr>
          <w:b/>
        </w:rPr>
        <w:tab/>
        <w:t>обеспечить наличие эффективного механизма проверок для контроля условий труда трудящихся-мигрантов и мигрантов, работающих в качестве домашней прислуги.</w:t>
      </w:r>
    </w:p>
    <w:p w:rsidR="00B138BC" w:rsidRPr="00B138BC" w:rsidRDefault="007C0869" w:rsidP="007C0869">
      <w:pPr>
        <w:pStyle w:val="H23GR"/>
      </w:pPr>
      <w:r>
        <w:tab/>
      </w:r>
      <w:r>
        <w:tab/>
      </w:r>
      <w:r w:rsidR="00B138BC" w:rsidRPr="00B138BC">
        <w:t xml:space="preserve">Национальный минимальный </w:t>
      </w:r>
      <w:proofErr w:type="gramStart"/>
      <w:r w:rsidR="00B138BC" w:rsidRPr="00B138BC">
        <w:t>размер оплаты труда</w:t>
      </w:r>
      <w:proofErr w:type="gramEnd"/>
    </w:p>
    <w:p w:rsidR="00B138BC" w:rsidRPr="00B138BC" w:rsidRDefault="00B138BC" w:rsidP="00B138BC">
      <w:pPr>
        <w:pStyle w:val="SingleTxtGR"/>
      </w:pPr>
      <w:r w:rsidRPr="00B138BC">
        <w:t>36.</w:t>
      </w:r>
      <w:r w:rsidRPr="00B138BC">
        <w:tab/>
        <w:t xml:space="preserve">Несмотря на то, что с 1 апреля 2016 года минимальный </w:t>
      </w:r>
      <w:proofErr w:type="gramStart"/>
      <w:r w:rsidRPr="00B138BC">
        <w:t>размер оплаты труда</w:t>
      </w:r>
      <w:proofErr w:type="gramEnd"/>
      <w:r w:rsidRPr="00B138BC">
        <w:t xml:space="preserve"> на национальном уровне увеличен, Комитет обеспокоен тем, что его не достаточно для обеспечения достойного жизненного уровня в государстве-участнике, особенно в Лондоне, и что он не распространяется на работников в возрасте до 25 лет (статья 7).</w:t>
      </w:r>
    </w:p>
    <w:p w:rsidR="00B138BC" w:rsidRPr="007C0869" w:rsidRDefault="00B138BC" w:rsidP="00B138BC">
      <w:pPr>
        <w:pStyle w:val="SingleTxtGR"/>
        <w:rPr>
          <w:b/>
        </w:rPr>
      </w:pPr>
      <w:r w:rsidRPr="00B138BC">
        <w:t>37.</w:t>
      </w:r>
      <w:r w:rsidRPr="00B138BC">
        <w:tab/>
      </w:r>
      <w:r w:rsidRPr="007C0869">
        <w:rPr>
          <w:b/>
        </w:rPr>
        <w:t>Комитет рекомендует государству-участнику обеспечить периодич</w:t>
      </w:r>
      <w:r w:rsidRPr="007C0869">
        <w:rPr>
          <w:b/>
        </w:rPr>
        <w:t>е</w:t>
      </w:r>
      <w:r w:rsidRPr="007C0869">
        <w:rPr>
          <w:b/>
        </w:rPr>
        <w:t xml:space="preserve">ский пересмотр национального минимального </w:t>
      </w:r>
      <w:proofErr w:type="gramStart"/>
      <w:r w:rsidRPr="007C0869">
        <w:rPr>
          <w:b/>
        </w:rPr>
        <w:t>размера оплаты труда</w:t>
      </w:r>
      <w:proofErr w:type="gramEnd"/>
      <w:r w:rsidRPr="007C0869">
        <w:rPr>
          <w:b/>
        </w:rPr>
        <w:t xml:space="preserve"> и установить его в объеме, достаточном для обеспечения всем работникам и их семьям достойного жизненного уровня. Он рекомендует государству-участнику также распространить действие положений о национальном минимальном </w:t>
      </w:r>
      <w:proofErr w:type="gramStart"/>
      <w:r w:rsidRPr="007C0869">
        <w:rPr>
          <w:b/>
        </w:rPr>
        <w:t>размере оплаты труда</w:t>
      </w:r>
      <w:proofErr w:type="gramEnd"/>
      <w:r w:rsidRPr="007C0869">
        <w:rPr>
          <w:b/>
        </w:rPr>
        <w:t xml:space="preserve"> на лиц в возрасте до 25 лет.</w:t>
      </w:r>
    </w:p>
    <w:p w:rsidR="00B138BC" w:rsidRPr="00B138BC" w:rsidRDefault="007C0869" w:rsidP="007C0869">
      <w:pPr>
        <w:pStyle w:val="H23GR"/>
      </w:pPr>
      <w:r>
        <w:tab/>
      </w:r>
      <w:r>
        <w:tab/>
      </w:r>
      <w:r w:rsidR="00B138BC" w:rsidRPr="00B138BC">
        <w:t>Профсоюзные права</w:t>
      </w:r>
    </w:p>
    <w:p w:rsidR="00B138BC" w:rsidRPr="00B138BC" w:rsidRDefault="00B138BC" w:rsidP="00B138BC">
      <w:pPr>
        <w:pStyle w:val="SingleTxtGR"/>
      </w:pPr>
      <w:r w:rsidRPr="00B138BC">
        <w:t>38.</w:t>
      </w:r>
      <w:r w:rsidRPr="00B138BC">
        <w:tab/>
        <w:t>Комитет с обеспокоенностью отмечает недавнее принятие Закона о про</w:t>
      </w:r>
      <w:r w:rsidRPr="00B138BC">
        <w:t>ф</w:t>
      </w:r>
      <w:r w:rsidRPr="00B138BC">
        <w:t>союзах 2016 года, которым введены процессуальные требования, ограничив</w:t>
      </w:r>
      <w:r w:rsidRPr="00B138BC">
        <w:t>а</w:t>
      </w:r>
      <w:r w:rsidRPr="00B138BC">
        <w:t>ющие право работников на трудовой протест. Кроме того, Комитет обеспокоен недостатками в осуществлении Закона о трудовых отношениях 1999 года и п</w:t>
      </w:r>
      <w:r w:rsidRPr="00B138BC">
        <w:t>о</w:t>
      </w:r>
      <w:r w:rsidRPr="00B138BC">
        <w:t>ложения к нему 2010 года о запрете составления черных список членов про</w:t>
      </w:r>
      <w:r w:rsidRPr="00B138BC">
        <w:t>ф</w:t>
      </w:r>
      <w:r w:rsidRPr="00B138BC">
        <w:t>союзов (статья 8).</w:t>
      </w:r>
    </w:p>
    <w:p w:rsidR="00B138BC" w:rsidRPr="007C0869" w:rsidRDefault="00B138BC" w:rsidP="00B138BC">
      <w:pPr>
        <w:pStyle w:val="SingleTxtGR"/>
        <w:rPr>
          <w:b/>
        </w:rPr>
      </w:pPr>
      <w:r w:rsidRPr="00B138BC">
        <w:t>39.</w:t>
      </w:r>
      <w:r w:rsidRPr="00B138BC">
        <w:tab/>
      </w:r>
      <w:r w:rsidRPr="007C0869">
        <w:rPr>
          <w:b/>
        </w:rPr>
        <w:t>Комитет рекомендует государству-участнику провести тщательный обзор нового Закона о профсоюзах 2016 года и принять все необходимые меры, чтобы в соответствии с его обязательствами по статье 8 Пакта обе</w:t>
      </w:r>
      <w:r w:rsidRPr="007C0869">
        <w:rPr>
          <w:b/>
        </w:rPr>
        <w:t>с</w:t>
      </w:r>
      <w:r w:rsidRPr="007C0869">
        <w:rPr>
          <w:b/>
        </w:rPr>
        <w:t>печить всем работникам возможность пользоваться их профсоюзными правами без необоснованных ограничений или вмешательства. Комитет настоятельно призывает государство-участник принять все необходимые меры для обеспечения эффективного осуществления Закона о трудовых отношениях 1999 года и положения к нему 2010 года, которые запрещают составление черных списков членов профсоюзов, а также гарантировать всем</w:t>
      </w:r>
      <w:r w:rsidR="007C0869">
        <w:rPr>
          <w:b/>
        </w:rPr>
        <w:t xml:space="preserve"> внесенным</w:t>
      </w:r>
      <w:r w:rsidRPr="007C0869">
        <w:rPr>
          <w:b/>
        </w:rPr>
        <w:t xml:space="preserve"> в такие списки работникам доступ к эффективным сре</w:t>
      </w:r>
      <w:r w:rsidRPr="007C0869">
        <w:rPr>
          <w:b/>
        </w:rPr>
        <w:t>д</w:t>
      </w:r>
      <w:r w:rsidRPr="007C0869">
        <w:rPr>
          <w:b/>
        </w:rPr>
        <w:t>ствам правовой защиты и возможность получения компенсации.</w:t>
      </w:r>
    </w:p>
    <w:p w:rsidR="00B138BC" w:rsidRPr="00B138BC" w:rsidRDefault="007C0869" w:rsidP="007C0869">
      <w:pPr>
        <w:pStyle w:val="H23GR"/>
      </w:pPr>
      <w:r>
        <w:tab/>
      </w:r>
      <w:r>
        <w:tab/>
      </w:r>
      <w:r w:rsidR="00B138BC" w:rsidRPr="00B138BC">
        <w:t>Социальное обеспечение</w:t>
      </w:r>
    </w:p>
    <w:p w:rsidR="00B138BC" w:rsidRPr="00B138BC" w:rsidRDefault="00B138BC" w:rsidP="00B138BC">
      <w:pPr>
        <w:pStyle w:val="SingleTxtGR"/>
      </w:pPr>
      <w:r w:rsidRPr="00B138BC">
        <w:t>40.</w:t>
      </w:r>
      <w:r w:rsidRPr="00B138BC">
        <w:tab/>
      </w:r>
      <w:proofErr w:type="gramStart"/>
      <w:r w:rsidRPr="00B138BC">
        <w:t>Комитет серьезно обеспокоен различными изменениями в правах на с</w:t>
      </w:r>
      <w:r w:rsidRPr="00B138BC">
        <w:t>о</w:t>
      </w:r>
      <w:r w:rsidRPr="00B138BC">
        <w:t>циальные пособия и их уменьшением в соответствии с Законом о реформе с</w:t>
      </w:r>
      <w:r w:rsidRPr="00B138BC">
        <w:t>и</w:t>
      </w:r>
      <w:r w:rsidRPr="00B138BC">
        <w:t>стемы социального обеспечения 2012 года и Закон</w:t>
      </w:r>
      <w:r w:rsidR="00AA7298">
        <w:t>ом</w:t>
      </w:r>
      <w:r w:rsidRPr="00B138BC">
        <w:t xml:space="preserve"> о реформе системы соц</w:t>
      </w:r>
      <w:r w:rsidRPr="00B138BC">
        <w:t>и</w:t>
      </w:r>
      <w:r w:rsidRPr="00B138BC">
        <w:t>ального обеспечения и о труде 2016 года, такими как уменьшение максимальн</w:t>
      </w:r>
      <w:r w:rsidRPr="00B138BC">
        <w:t>о</w:t>
      </w:r>
      <w:r w:rsidRPr="00B138BC">
        <w:t>го размера общей суммы пособий на одно домохозяйство, уменьшение размеров жилищной субсидии в случае наличия свободной комнаты (</w:t>
      </w:r>
      <w:r w:rsidR="00D841D3">
        <w:t>«</w:t>
      </w:r>
      <w:r w:rsidRPr="00B138BC">
        <w:t>налог на спал</w:t>
      </w:r>
      <w:r w:rsidRPr="00B138BC">
        <w:t>ь</w:t>
      </w:r>
      <w:r w:rsidRPr="00B138BC">
        <w:t>ню</w:t>
      </w:r>
      <w:r w:rsidR="00D841D3">
        <w:t>»</w:t>
      </w:r>
      <w:r w:rsidRPr="00B138BC">
        <w:t>), четырехлетняя</w:t>
      </w:r>
      <w:proofErr w:type="gramEnd"/>
      <w:r w:rsidRPr="00B138BC">
        <w:t xml:space="preserve"> заморозка некоторых пособий и уменьшение размеров налоговых вычетов на детей. Комитет особо обеспокоен негативными после</w:t>
      </w:r>
      <w:r w:rsidRPr="00B138BC">
        <w:t>д</w:t>
      </w:r>
      <w:r w:rsidRPr="00B138BC">
        <w:t>ствиями этих изменений и уменьшений для осуществления прав на социальное обеспечение и на достаточный жизненный уровень находящихся в неблагопр</w:t>
      </w:r>
      <w:r w:rsidRPr="00B138BC">
        <w:t>и</w:t>
      </w:r>
      <w:r w:rsidRPr="00B138BC">
        <w:t>ятном положении и маргинализированных лиц и групп, в том числе женщин, детей, инвалидов, малообеспеченных семей и семей с двумя и более детьми. Кроме того, Комитет выражает обеспокоенность по поводу масштабов прим</w:t>
      </w:r>
      <w:r w:rsidRPr="00B138BC">
        <w:t>е</w:t>
      </w:r>
      <w:r w:rsidRPr="00B138BC">
        <w:t>нения государством-участником санкций, связанных с социальными пособиями, и отсутствия надлежащей правовой процедуры и доступа к правосудию у тех, кто пострадал в результате применения санкций (статьи 9 и 11).</w:t>
      </w:r>
    </w:p>
    <w:p w:rsidR="00B138BC" w:rsidRPr="007C0869" w:rsidRDefault="00B138BC" w:rsidP="00B138BC">
      <w:pPr>
        <w:pStyle w:val="SingleTxtGR"/>
        <w:rPr>
          <w:b/>
        </w:rPr>
      </w:pPr>
      <w:r w:rsidRPr="00B138BC">
        <w:t>41.</w:t>
      </w:r>
      <w:r w:rsidRPr="00B138BC">
        <w:tab/>
      </w:r>
      <w:r w:rsidRPr="007C0869">
        <w:rPr>
          <w:b/>
        </w:rPr>
        <w:t xml:space="preserve">Комитет призывает государство-участник: </w:t>
      </w:r>
    </w:p>
    <w:p w:rsidR="00B138BC" w:rsidRPr="007C0869" w:rsidRDefault="007C0869" w:rsidP="00B138BC">
      <w:pPr>
        <w:pStyle w:val="SingleTxtGR"/>
        <w:rPr>
          <w:b/>
        </w:rPr>
      </w:pPr>
      <w:r w:rsidRPr="007C0869">
        <w:rPr>
          <w:b/>
        </w:rPr>
        <w:tab/>
      </w:r>
      <w:r w:rsidR="00B138BC" w:rsidRPr="007C0869">
        <w:rPr>
          <w:b/>
        </w:rPr>
        <w:t>a)</w:t>
      </w:r>
      <w:r w:rsidR="00B138BC" w:rsidRPr="007C0869">
        <w:rPr>
          <w:b/>
        </w:rPr>
        <w:tab/>
        <w:t>пересмотреть условия, при наступлении которых гарантируе</w:t>
      </w:r>
      <w:r w:rsidR="00B138BC" w:rsidRPr="007C0869">
        <w:rPr>
          <w:b/>
        </w:rPr>
        <w:t>т</w:t>
      </w:r>
      <w:r w:rsidR="00B138BC" w:rsidRPr="007C0869">
        <w:rPr>
          <w:b/>
        </w:rPr>
        <w:t>ся социальная поддержка, и отказаться от уменьшения социальных пос</w:t>
      </w:r>
      <w:r w:rsidR="00B138BC" w:rsidRPr="007C0869">
        <w:rPr>
          <w:b/>
        </w:rPr>
        <w:t>о</w:t>
      </w:r>
      <w:r w:rsidR="00B138BC" w:rsidRPr="007C0869">
        <w:rPr>
          <w:b/>
        </w:rPr>
        <w:t>бий, ставшего результатом принятия Закона о реформе системы социал</w:t>
      </w:r>
      <w:r w:rsidR="00B138BC" w:rsidRPr="007C0869">
        <w:rPr>
          <w:b/>
        </w:rPr>
        <w:t>ь</w:t>
      </w:r>
      <w:r w:rsidR="00B138BC" w:rsidRPr="007C0869">
        <w:rPr>
          <w:b/>
        </w:rPr>
        <w:t>ного обеспечения 2012 года и Закона о реформе системы социального обе</w:t>
      </w:r>
      <w:r w:rsidR="00B138BC" w:rsidRPr="007C0869">
        <w:rPr>
          <w:b/>
        </w:rPr>
        <w:t>с</w:t>
      </w:r>
      <w:r w:rsidR="00B138BC" w:rsidRPr="007C0869">
        <w:rPr>
          <w:b/>
        </w:rPr>
        <w:t>печения и труде 2016 года;</w:t>
      </w:r>
    </w:p>
    <w:p w:rsidR="00B138BC" w:rsidRPr="007C0869" w:rsidRDefault="007C0869" w:rsidP="00B138BC">
      <w:pPr>
        <w:pStyle w:val="SingleTxtGR"/>
        <w:rPr>
          <w:b/>
        </w:rPr>
      </w:pPr>
      <w:r w:rsidRPr="007C0869">
        <w:rPr>
          <w:b/>
        </w:rPr>
        <w:tab/>
      </w:r>
      <w:r w:rsidR="00B138BC" w:rsidRPr="007C0869">
        <w:rPr>
          <w:b/>
        </w:rPr>
        <w:t>b)</w:t>
      </w:r>
      <w:r w:rsidR="00B138BC" w:rsidRPr="007C0869">
        <w:rPr>
          <w:b/>
        </w:rPr>
        <w:tab/>
        <w:t>вернуться к увязке ставок выплачиваемых государством пос</w:t>
      </w:r>
      <w:r w:rsidR="00B138BC" w:rsidRPr="007C0869">
        <w:rPr>
          <w:b/>
        </w:rPr>
        <w:t>о</w:t>
      </w:r>
      <w:r w:rsidR="00B138BC" w:rsidRPr="007C0869">
        <w:rPr>
          <w:b/>
        </w:rPr>
        <w:t>бий со стоимостью жизни и гарантировать выплату социальных пособий в объеме, позволяющем обеспечить достаточный жизненный уровень, вкл</w:t>
      </w:r>
      <w:r w:rsidR="00B138BC" w:rsidRPr="007C0869">
        <w:rPr>
          <w:b/>
        </w:rPr>
        <w:t>ю</w:t>
      </w:r>
      <w:r w:rsidR="00B138BC" w:rsidRPr="007C0869">
        <w:rPr>
          <w:b/>
        </w:rPr>
        <w:t>чая доступ к здравоохранению, достаточному жилищу и питанию;</w:t>
      </w:r>
    </w:p>
    <w:p w:rsidR="00B138BC" w:rsidRPr="007C0869" w:rsidRDefault="007C0869" w:rsidP="00B138BC">
      <w:pPr>
        <w:pStyle w:val="SingleTxtGR"/>
        <w:rPr>
          <w:b/>
        </w:rPr>
      </w:pPr>
      <w:r w:rsidRPr="007C0869">
        <w:rPr>
          <w:b/>
        </w:rPr>
        <w:tab/>
      </w:r>
      <w:r w:rsidR="00B138BC" w:rsidRPr="007C0869">
        <w:rPr>
          <w:b/>
        </w:rPr>
        <w:t>с)</w:t>
      </w:r>
      <w:r w:rsidR="00B138BC" w:rsidRPr="007C0869">
        <w:rPr>
          <w:b/>
        </w:rPr>
        <w:tab/>
        <w:t>пересмотреть порядок применения санкций, связанных с соц</w:t>
      </w:r>
      <w:r w:rsidR="00B138BC" w:rsidRPr="007C0869">
        <w:rPr>
          <w:b/>
        </w:rPr>
        <w:t>и</w:t>
      </w:r>
      <w:r w:rsidR="00B138BC" w:rsidRPr="007C0869">
        <w:rPr>
          <w:b/>
        </w:rPr>
        <w:t>альными пособиями, а также обеспечить их применение соразмерно нар</w:t>
      </w:r>
      <w:r w:rsidR="00B138BC" w:rsidRPr="007C0869">
        <w:rPr>
          <w:b/>
        </w:rPr>
        <w:t>у</w:t>
      </w:r>
      <w:r w:rsidR="00B138BC" w:rsidRPr="007C0869">
        <w:rPr>
          <w:b/>
        </w:rPr>
        <w:t>шению и наличие оперативных и независимых механизмов урегулиров</w:t>
      </w:r>
      <w:r w:rsidR="00B138BC" w:rsidRPr="007C0869">
        <w:rPr>
          <w:b/>
        </w:rPr>
        <w:t>а</w:t>
      </w:r>
      <w:r w:rsidR="00B138BC" w:rsidRPr="007C0869">
        <w:rPr>
          <w:b/>
        </w:rPr>
        <w:t xml:space="preserve">ния споров, их касающихся; </w:t>
      </w:r>
    </w:p>
    <w:p w:rsidR="00B138BC" w:rsidRPr="007C0869" w:rsidRDefault="007C0869" w:rsidP="00B138BC">
      <w:pPr>
        <w:pStyle w:val="SingleTxtGR"/>
        <w:rPr>
          <w:b/>
        </w:rPr>
      </w:pPr>
      <w:r w:rsidRPr="007C0869">
        <w:rPr>
          <w:b/>
        </w:rPr>
        <w:tab/>
      </w:r>
      <w:r w:rsidR="00B138BC" w:rsidRPr="007C0869">
        <w:rPr>
          <w:b/>
        </w:rPr>
        <w:t>d)</w:t>
      </w:r>
      <w:r w:rsidR="00B138BC" w:rsidRPr="007C0869">
        <w:rPr>
          <w:b/>
        </w:rPr>
        <w:tab/>
        <w:t>представить в своем следующем докладе данные о воздействии реформ социального обеспечения в разбивке по таким категориям, как женщины, дети, инвалиды, малообеспеченные семьи и семьи с двумя и б</w:t>
      </w:r>
      <w:r w:rsidR="00B138BC" w:rsidRPr="007C0869">
        <w:rPr>
          <w:b/>
        </w:rPr>
        <w:t>о</w:t>
      </w:r>
      <w:r w:rsidR="00B138BC" w:rsidRPr="007C0869">
        <w:rPr>
          <w:b/>
        </w:rPr>
        <w:t>лее детьми.</w:t>
      </w:r>
    </w:p>
    <w:p w:rsidR="00B138BC" w:rsidRPr="00B138BC" w:rsidRDefault="00B138BC" w:rsidP="00B138BC">
      <w:pPr>
        <w:pStyle w:val="SingleTxtGR"/>
        <w:rPr>
          <w:b/>
          <w:bCs/>
        </w:rPr>
      </w:pPr>
      <w:r w:rsidRPr="00B138BC">
        <w:t>42.</w:t>
      </w:r>
      <w:r w:rsidRPr="00B138BC">
        <w:tab/>
      </w:r>
      <w:r w:rsidRPr="007C0869">
        <w:rPr>
          <w:b/>
        </w:rPr>
        <w:t>Комитет обращает внимание государства-участника на свое замеч</w:t>
      </w:r>
      <w:r w:rsidRPr="007C0869">
        <w:rPr>
          <w:b/>
        </w:rPr>
        <w:t>а</w:t>
      </w:r>
      <w:r w:rsidRPr="007C0869">
        <w:rPr>
          <w:b/>
        </w:rPr>
        <w:t>ние общего порядка № 19 (2007) о праве на социальное обеспечение.</w:t>
      </w:r>
    </w:p>
    <w:p w:rsidR="00B138BC" w:rsidRPr="00B138BC" w:rsidRDefault="007C0869" w:rsidP="007C0869">
      <w:pPr>
        <w:pStyle w:val="H23GR"/>
      </w:pPr>
      <w:r>
        <w:tab/>
      </w:r>
      <w:r>
        <w:tab/>
      </w:r>
      <w:r w:rsidR="00B138BC" w:rsidRPr="00B138BC">
        <w:t>Уход за детьми</w:t>
      </w:r>
    </w:p>
    <w:p w:rsidR="00B138BC" w:rsidRPr="00B138BC" w:rsidRDefault="00B138BC" w:rsidP="00B138BC">
      <w:pPr>
        <w:pStyle w:val="SingleTxtGR"/>
      </w:pPr>
      <w:r w:rsidRPr="00B138BC">
        <w:t>43.</w:t>
      </w:r>
      <w:r w:rsidRPr="00B138BC">
        <w:tab/>
        <w:t xml:space="preserve">Несмотря </w:t>
      </w:r>
      <w:proofErr w:type="gramStart"/>
      <w:r w:rsidRPr="00B138BC">
        <w:t>на недавний план по расширению объема оказания услуг по уходу за детьми в Англии</w:t>
      </w:r>
      <w:proofErr w:type="gramEnd"/>
      <w:r w:rsidRPr="00B138BC">
        <w:t xml:space="preserve"> и Шотландии, Комитет обеспокоен ограниченной д</w:t>
      </w:r>
      <w:r w:rsidRPr="00B138BC">
        <w:t>о</w:t>
      </w:r>
      <w:r w:rsidRPr="00B138BC">
        <w:t>ступностью и высокой стоимостью услуг по уходу за детьми в государстве-участнике. Комитет обеспокоен также тем, что существующий на сегодня мех</w:t>
      </w:r>
      <w:r w:rsidRPr="00B138BC">
        <w:t>а</w:t>
      </w:r>
      <w:r w:rsidRPr="00B138BC">
        <w:t>низм совместного отпуска по уходу за ребенком не во всех случаях приводит к более активному участию мужчин в выполнении обязанностей по уходу за детьми (статья 10).</w:t>
      </w:r>
    </w:p>
    <w:p w:rsidR="00B138BC" w:rsidRPr="007C0869" w:rsidRDefault="00B138BC" w:rsidP="00B138BC">
      <w:pPr>
        <w:pStyle w:val="SingleTxtGR"/>
        <w:rPr>
          <w:b/>
          <w:bCs/>
        </w:rPr>
      </w:pPr>
      <w:r w:rsidRPr="00B138BC">
        <w:t>44.</w:t>
      </w:r>
      <w:r w:rsidRPr="00B138BC">
        <w:tab/>
      </w:r>
      <w:r w:rsidRPr="007C0869">
        <w:rPr>
          <w:b/>
        </w:rPr>
        <w:t xml:space="preserve">Комитет рекомендует государству-участнику активизировать усилия по обеспечению предложения, доступности и финансовой </w:t>
      </w:r>
      <w:r w:rsidR="00741FF6">
        <w:rPr>
          <w:b/>
        </w:rPr>
        <w:t>приемлемости</w:t>
      </w:r>
      <w:r w:rsidRPr="007C0869">
        <w:rPr>
          <w:b/>
        </w:rPr>
        <w:t xml:space="preserve"> услуг по уходу за детьми на всей территории государства-участника, в ос</w:t>
      </w:r>
      <w:r w:rsidRPr="007C0869">
        <w:rPr>
          <w:b/>
        </w:rPr>
        <w:t>о</w:t>
      </w:r>
      <w:r w:rsidRPr="007C0869">
        <w:rPr>
          <w:b/>
        </w:rPr>
        <w:t>бенности в Шотландии и Северной Ирландии. Комитет рекомендует гос</w:t>
      </w:r>
      <w:r w:rsidRPr="007C0869">
        <w:rPr>
          <w:b/>
        </w:rPr>
        <w:t>у</w:t>
      </w:r>
      <w:r w:rsidRPr="007C0869">
        <w:rPr>
          <w:b/>
        </w:rPr>
        <w:t>дарству-участнику также провести обзор системы совместного отпуска по уходу за ребенком и изменить ее с тем, чтобы обязанности в семье и в о</w:t>
      </w:r>
      <w:r w:rsidRPr="007C0869">
        <w:rPr>
          <w:b/>
        </w:rPr>
        <w:t>б</w:t>
      </w:r>
      <w:r w:rsidRPr="007C0869">
        <w:rPr>
          <w:b/>
        </w:rPr>
        <w:t>ществе были распределены более равномерно.</w:t>
      </w:r>
    </w:p>
    <w:p w:rsidR="00B138BC" w:rsidRPr="00B138BC" w:rsidRDefault="007C0869" w:rsidP="007C0869">
      <w:pPr>
        <w:pStyle w:val="H23GR"/>
      </w:pPr>
      <w:r>
        <w:tab/>
      </w:r>
      <w:r>
        <w:tab/>
      </w:r>
      <w:r w:rsidR="00B138BC" w:rsidRPr="00B138BC">
        <w:t>Насилие в отношении женщин-инвалидов</w:t>
      </w:r>
    </w:p>
    <w:p w:rsidR="00B138BC" w:rsidRPr="00B138BC" w:rsidRDefault="00B138BC" w:rsidP="00B138BC">
      <w:pPr>
        <w:pStyle w:val="SingleTxtGR"/>
      </w:pPr>
      <w:r w:rsidRPr="00B138BC">
        <w:t>45.</w:t>
      </w:r>
      <w:r w:rsidRPr="00B138BC">
        <w:tab/>
        <w:t>Отмечая принятие в марте 2016 года национальной стратегии в отнош</w:t>
      </w:r>
      <w:r w:rsidRPr="00B138BC">
        <w:t>е</w:t>
      </w:r>
      <w:r w:rsidRPr="00B138BC">
        <w:t xml:space="preserve">нии гендерного насилия, Комитет выражает сожаление в связи с отсутствием информации о том, что предусмотрено в ее рамках для эффективной борьбы с насилием в отношении женщин-инвалидов и девочек-инвалидов (статья 10). </w:t>
      </w:r>
    </w:p>
    <w:p w:rsidR="00B138BC" w:rsidRPr="007C0869" w:rsidRDefault="00B138BC" w:rsidP="00B138BC">
      <w:pPr>
        <w:pStyle w:val="SingleTxtGR"/>
        <w:rPr>
          <w:b/>
        </w:rPr>
      </w:pPr>
      <w:r w:rsidRPr="00B138BC">
        <w:t>46.</w:t>
      </w:r>
      <w:r w:rsidRPr="00B138BC">
        <w:tab/>
      </w:r>
      <w:r w:rsidRPr="007C0869">
        <w:rPr>
          <w:b/>
        </w:rPr>
        <w:t>Комитет просит государство-участник включить в свой следующий периодический доклад информацию о результатах осуществления наци</w:t>
      </w:r>
      <w:r w:rsidRPr="007C0869">
        <w:rPr>
          <w:b/>
        </w:rPr>
        <w:t>о</w:t>
      </w:r>
      <w:r w:rsidRPr="007C0869">
        <w:rPr>
          <w:b/>
        </w:rPr>
        <w:t>нальной стратегии в отношении гендерного насилия, в частности в обл</w:t>
      </w:r>
      <w:r w:rsidRPr="007C0869">
        <w:rPr>
          <w:b/>
        </w:rPr>
        <w:t>а</w:t>
      </w:r>
      <w:r w:rsidRPr="007C0869">
        <w:rPr>
          <w:b/>
        </w:rPr>
        <w:t>сти насилия в отношении женщин-инвалидов и девочек-инвалидов.</w:t>
      </w:r>
    </w:p>
    <w:p w:rsidR="00B138BC" w:rsidRPr="00B138BC" w:rsidRDefault="007C0869" w:rsidP="007C0869">
      <w:pPr>
        <w:pStyle w:val="H23GR"/>
      </w:pPr>
      <w:r>
        <w:tab/>
      </w:r>
      <w:r>
        <w:tab/>
      </w:r>
      <w:r w:rsidR="00B138BC" w:rsidRPr="00B138BC">
        <w:t>Нищета</w:t>
      </w:r>
    </w:p>
    <w:p w:rsidR="00B138BC" w:rsidRPr="00B138BC" w:rsidRDefault="00B138BC" w:rsidP="00B138BC">
      <w:pPr>
        <w:pStyle w:val="SingleTxtGR"/>
      </w:pPr>
      <w:r w:rsidRPr="00B138BC">
        <w:t>47.</w:t>
      </w:r>
      <w:r w:rsidRPr="00B138BC">
        <w:tab/>
        <w:t>Комитет с обеспокоенностью отмечает, что некоторые группы населения в большей степени страдают от нищеты или подвергаются более высокому ри</w:t>
      </w:r>
      <w:r w:rsidRPr="00B138BC">
        <w:t>с</w:t>
      </w:r>
      <w:r w:rsidRPr="00B138BC">
        <w:t xml:space="preserve">ку впасть в нищету, в частности инвалиды, лица, </w:t>
      </w:r>
      <w:proofErr w:type="gramStart"/>
      <w:r w:rsidRPr="00B138BC">
        <w:t>принадлежащих</w:t>
      </w:r>
      <w:proofErr w:type="gramEnd"/>
      <w:r w:rsidRPr="00B138BC">
        <w:t xml:space="preserve"> к этническим, религиозным или другим меньшинствам, семьи с одним родителем и семьи с детьми. </w:t>
      </w:r>
      <w:proofErr w:type="gramStart"/>
      <w:r w:rsidRPr="00B138BC">
        <w:t>Комитет с обеспокоенностью отмечает, что в государстве-участнике о</w:t>
      </w:r>
      <w:r w:rsidRPr="00B138BC">
        <w:t>т</w:t>
      </w:r>
      <w:r w:rsidRPr="00B138BC">
        <w:t xml:space="preserve">сутствует отдельное определение нищеты и что в новой стратегии </w:t>
      </w:r>
      <w:r w:rsidR="00D841D3">
        <w:t>«</w:t>
      </w:r>
      <w:r w:rsidRPr="00B138BC">
        <w:t>Жизненные перспективы</w:t>
      </w:r>
      <w:r w:rsidR="00D841D3">
        <w:t>»</w:t>
      </w:r>
      <w:r w:rsidRPr="00B138BC">
        <w:t>, содержащейся в Законе о реформе системы социального обесп</w:t>
      </w:r>
      <w:r w:rsidRPr="00B138BC">
        <w:t>е</w:t>
      </w:r>
      <w:r w:rsidRPr="00B138BC">
        <w:t>чения и о труде 2016 года, более не предусмотрена обязанность достижения увязанных с конкретными сроками целей по искоренению детской нищеты, к</w:t>
      </w:r>
      <w:r w:rsidRPr="00B138BC">
        <w:t>о</w:t>
      </w:r>
      <w:r w:rsidRPr="00B138BC">
        <w:t>торая остается высокой и, по прогнозам, будет продолжать расти, особенно в Северной Ирландии (статья 11).</w:t>
      </w:r>
      <w:proofErr w:type="gramEnd"/>
    </w:p>
    <w:p w:rsidR="00B138BC" w:rsidRPr="00B138BC" w:rsidRDefault="00B138BC" w:rsidP="00B138BC">
      <w:pPr>
        <w:pStyle w:val="SingleTxtGR"/>
        <w:rPr>
          <w:b/>
        </w:rPr>
      </w:pPr>
      <w:r w:rsidRPr="00B138BC">
        <w:t>48.</w:t>
      </w:r>
      <w:r w:rsidRPr="00B138BC">
        <w:tab/>
      </w:r>
      <w:r w:rsidRPr="00741FF6">
        <w:rPr>
          <w:b/>
        </w:rPr>
        <w:t>Комитет рекомендует государству-участнику принять меры для обе</w:t>
      </w:r>
      <w:r w:rsidRPr="00741FF6">
        <w:rPr>
          <w:b/>
        </w:rPr>
        <w:t>с</w:t>
      </w:r>
      <w:r w:rsidRPr="00741FF6">
        <w:rPr>
          <w:b/>
        </w:rPr>
        <w:t>печения адресной поддержки всем тем, кто живет в нищете или на грани нищеты, в особенности инвалидам, лицам, принадлежащим к этническим, религиозным или другим меньшинствам, семьям с одним родителем и с</w:t>
      </w:r>
      <w:r w:rsidRPr="00741FF6">
        <w:rPr>
          <w:b/>
        </w:rPr>
        <w:t>е</w:t>
      </w:r>
      <w:r w:rsidRPr="00741FF6">
        <w:rPr>
          <w:b/>
        </w:rPr>
        <w:t>мьям с детьми, а также принять стратегию по борьбе с нищетой в Севе</w:t>
      </w:r>
      <w:r w:rsidRPr="00741FF6">
        <w:rPr>
          <w:b/>
        </w:rPr>
        <w:t>р</w:t>
      </w:r>
      <w:r w:rsidRPr="00741FF6">
        <w:rPr>
          <w:b/>
        </w:rPr>
        <w:t>ной Ирландии. Кроме того, Комитет настоятельно призывает государство-участник разработать всеобъемлющую стратегию в отношении детской нищеты и вновь установить цели в области детской нищеты и обязанность представлять соответствующую отчетность. В этой связи Комитет обращ</w:t>
      </w:r>
      <w:r w:rsidRPr="00741FF6">
        <w:rPr>
          <w:b/>
        </w:rPr>
        <w:t>а</w:t>
      </w:r>
      <w:r w:rsidRPr="00741FF6">
        <w:rPr>
          <w:b/>
        </w:rPr>
        <w:t>ет внимание государства-участника на свое заявление о нищете и Межд</w:t>
      </w:r>
      <w:r w:rsidRPr="00741FF6">
        <w:rPr>
          <w:b/>
        </w:rPr>
        <w:t>у</w:t>
      </w:r>
      <w:r w:rsidRPr="00741FF6">
        <w:rPr>
          <w:b/>
        </w:rPr>
        <w:t>народном пакте об экономических, социальных и культурных правах, пр</w:t>
      </w:r>
      <w:r w:rsidRPr="00741FF6">
        <w:rPr>
          <w:b/>
        </w:rPr>
        <w:t>и</w:t>
      </w:r>
      <w:r w:rsidRPr="00741FF6">
        <w:rPr>
          <w:b/>
        </w:rPr>
        <w:t>нятое 4 мая 2001 года (Е/С.12/2001/10).</w:t>
      </w:r>
    </w:p>
    <w:p w:rsidR="00B138BC" w:rsidRPr="00B138BC" w:rsidRDefault="00741FF6" w:rsidP="00741FF6">
      <w:pPr>
        <w:pStyle w:val="H23GR"/>
      </w:pPr>
      <w:r>
        <w:tab/>
      </w:r>
      <w:r>
        <w:tab/>
      </w:r>
      <w:r w:rsidR="00B138BC" w:rsidRPr="00B138BC">
        <w:t>Достаточное жилище</w:t>
      </w:r>
    </w:p>
    <w:p w:rsidR="00B138BC" w:rsidRPr="00B138BC" w:rsidRDefault="00B138BC" w:rsidP="00B138BC">
      <w:pPr>
        <w:pStyle w:val="SingleTxtGR"/>
      </w:pPr>
      <w:r w:rsidRPr="00B138BC">
        <w:t>49.</w:t>
      </w:r>
      <w:r w:rsidRPr="00B138BC">
        <w:tab/>
        <w:t>Комитет обеспокоен сохраняющейся критической ситуацией в том, что касается наличия, доступности и финансовой доступности достаточного жил</w:t>
      </w:r>
      <w:r w:rsidRPr="00B138BC">
        <w:t>и</w:t>
      </w:r>
      <w:r w:rsidRPr="00B138BC">
        <w:t>ща в государстве-участнике, отчасти сложившейся в результате уменьшения размеров пособий, выплачиваемых государством. Комитет также с обеспокое</w:t>
      </w:r>
      <w:r w:rsidRPr="00B138BC">
        <w:t>н</w:t>
      </w:r>
      <w:r w:rsidRPr="00B138BC">
        <w:t xml:space="preserve">ностью отмечает, что нехватка социального жилья приводит к перемещению домашних хозяйств в частный сектор аренды жилья, который не позволяет обеспечить достаточное жилище в части финансовой доступности, пригодности для проживания, доступности и </w:t>
      </w:r>
      <w:proofErr w:type="gramStart"/>
      <w:r w:rsidRPr="00B138BC">
        <w:t>защищенности</w:t>
      </w:r>
      <w:proofErr w:type="gramEnd"/>
      <w:r w:rsidRPr="00B138BC">
        <w:t xml:space="preserve"> жилищных прав. Комитет вновь выражает обеспокоенность тем, что рома, цыгане и </w:t>
      </w:r>
      <w:proofErr w:type="spellStart"/>
      <w:r w:rsidRPr="00B138BC">
        <w:t>тревеллеры</w:t>
      </w:r>
      <w:proofErr w:type="spellEnd"/>
      <w:r w:rsidRPr="00B138BC">
        <w:t xml:space="preserve"> по-прежнему не имеют беспрепятственного доступа к достаточному и соответствующему их культуре жилью, обеспеченному надлежащим доступом к таким основным услугам, как водоснабжение и санитария, на всей территории государства-участника. Кроме того, Комитет по-прежнему обеспокоен сохраняющимся н</w:t>
      </w:r>
      <w:r w:rsidRPr="00B138BC">
        <w:t>е</w:t>
      </w:r>
      <w:r w:rsidRPr="00B138BC">
        <w:t>равенством в части доступа к достаточному жилищу в северной части Белф</w:t>
      </w:r>
      <w:r w:rsidRPr="00B138BC">
        <w:t>а</w:t>
      </w:r>
      <w:r w:rsidRPr="00B138BC">
        <w:t>ста, особо затрагивающим католические семьи (статья 11).</w:t>
      </w:r>
    </w:p>
    <w:p w:rsidR="00B138BC" w:rsidRPr="00741FF6" w:rsidRDefault="00B138BC" w:rsidP="00B138BC">
      <w:pPr>
        <w:pStyle w:val="SingleTxtGR"/>
        <w:rPr>
          <w:b/>
        </w:rPr>
      </w:pPr>
      <w:r w:rsidRPr="00B138BC">
        <w:t>50.</w:t>
      </w:r>
      <w:r w:rsidRPr="00B138BC">
        <w:tab/>
      </w:r>
      <w:r w:rsidRPr="00741FF6">
        <w:rPr>
          <w:b/>
        </w:rPr>
        <w:t>Комитет напоминает о своей ранее вынесенной рекомендации (E/C.12/GBR/CO/5, пункт 29) и настоятельно призывает государство-участник:</w:t>
      </w:r>
    </w:p>
    <w:p w:rsidR="00B138BC" w:rsidRPr="00741FF6" w:rsidRDefault="00741FF6" w:rsidP="00B138BC">
      <w:pPr>
        <w:pStyle w:val="SingleTxtGR"/>
        <w:rPr>
          <w:b/>
        </w:rPr>
      </w:pPr>
      <w:r w:rsidRPr="00741FF6">
        <w:rPr>
          <w:b/>
        </w:rPr>
        <w:tab/>
      </w:r>
      <w:r w:rsidR="00B138BC" w:rsidRPr="00741FF6">
        <w:rPr>
          <w:b/>
        </w:rPr>
        <w:t>a)</w:t>
      </w:r>
      <w:r w:rsidR="00B138BC" w:rsidRPr="00741FF6">
        <w:rPr>
          <w:b/>
        </w:rPr>
        <w:tab/>
        <w:t>принять все необходимые меры для устранения дефицита ж</w:t>
      </w:r>
      <w:r w:rsidR="00B138BC" w:rsidRPr="00741FF6">
        <w:rPr>
          <w:b/>
        </w:rPr>
        <w:t>и</w:t>
      </w:r>
      <w:r w:rsidR="00B138BC" w:rsidRPr="00741FF6">
        <w:rPr>
          <w:b/>
        </w:rPr>
        <w:t>лья путем обеспечения достаточного предложения жилья, в частности с</w:t>
      </w:r>
      <w:r w:rsidR="00B138BC" w:rsidRPr="00741FF6">
        <w:rPr>
          <w:b/>
        </w:rPr>
        <w:t>о</w:t>
      </w:r>
      <w:r w:rsidR="00B138BC" w:rsidRPr="00741FF6">
        <w:rPr>
          <w:b/>
        </w:rPr>
        <w:t>циального, особенно для наиболее обездоленных и маргинализированных индивидов и групп, в том числе лиц и домохозяйств со средним и низким уровнем дохода, молодежи и инвалидов;</w:t>
      </w:r>
    </w:p>
    <w:p w:rsidR="00B138BC" w:rsidRPr="00741FF6" w:rsidRDefault="00741FF6" w:rsidP="00B138BC">
      <w:pPr>
        <w:pStyle w:val="SingleTxtGR"/>
        <w:rPr>
          <w:b/>
        </w:rPr>
      </w:pPr>
      <w:r w:rsidRPr="00741FF6">
        <w:rPr>
          <w:b/>
        </w:rPr>
        <w:tab/>
      </w:r>
      <w:r w:rsidR="00B138BC" w:rsidRPr="00741FF6">
        <w:rPr>
          <w:b/>
        </w:rPr>
        <w:t>b)</w:t>
      </w:r>
      <w:r w:rsidR="00B138BC" w:rsidRPr="00741FF6">
        <w:rPr>
          <w:b/>
        </w:rPr>
        <w:tab/>
        <w:t>принять специальные меры в отношении неспособности аре</w:t>
      </w:r>
      <w:r w:rsidR="00B138BC" w:rsidRPr="00741FF6">
        <w:rPr>
          <w:b/>
        </w:rPr>
        <w:t>н</w:t>
      </w:r>
      <w:r w:rsidR="00B138BC" w:rsidRPr="00741FF6">
        <w:rPr>
          <w:b/>
        </w:rPr>
        <w:t>даторов жилья в частном секторе оплачивать арендную плату по причине введенных ограничений жилищных пособий и эффективно регулировать частный сектор сдачи жилья в аренду, в том числе посредством защиты жилищных прав и механизмов подотчетности;</w:t>
      </w:r>
    </w:p>
    <w:p w:rsidR="00B138BC" w:rsidRPr="00741FF6" w:rsidRDefault="00741FF6" w:rsidP="00B138BC">
      <w:pPr>
        <w:pStyle w:val="SingleTxtGR"/>
        <w:rPr>
          <w:b/>
        </w:rPr>
      </w:pPr>
      <w:r w:rsidRPr="00741FF6">
        <w:rPr>
          <w:b/>
        </w:rPr>
        <w:tab/>
      </w:r>
      <w:r w:rsidR="00B138BC" w:rsidRPr="00741FF6">
        <w:rPr>
          <w:b/>
        </w:rPr>
        <w:t>c)</w:t>
      </w:r>
      <w:r w:rsidR="00B138BC" w:rsidRPr="00741FF6">
        <w:rPr>
          <w:b/>
        </w:rPr>
        <w:tab/>
        <w:t>принять меры для ликвидации ненадлежащего жилья, в том числе неудовлетворительных жилищных условий и непригодного для пр</w:t>
      </w:r>
      <w:r w:rsidR="00B138BC" w:rsidRPr="00741FF6">
        <w:rPr>
          <w:b/>
        </w:rPr>
        <w:t>о</w:t>
      </w:r>
      <w:r w:rsidR="00B138BC" w:rsidRPr="00741FF6">
        <w:rPr>
          <w:b/>
        </w:rPr>
        <w:t>живания жилья;</w:t>
      </w:r>
    </w:p>
    <w:p w:rsidR="00B138BC" w:rsidRPr="00741FF6" w:rsidRDefault="00741FF6" w:rsidP="00B138BC">
      <w:pPr>
        <w:pStyle w:val="SingleTxtGR"/>
        <w:rPr>
          <w:b/>
        </w:rPr>
      </w:pPr>
      <w:r w:rsidRPr="00741FF6">
        <w:rPr>
          <w:b/>
        </w:rPr>
        <w:tab/>
      </w:r>
      <w:r w:rsidR="00B138BC" w:rsidRPr="00741FF6">
        <w:rPr>
          <w:b/>
        </w:rPr>
        <w:t>d)</w:t>
      </w:r>
      <w:r w:rsidR="00B138BC" w:rsidRPr="00741FF6">
        <w:rPr>
          <w:b/>
        </w:rPr>
        <w:tab/>
        <w:t>обеспечить надлежащий доступ к соответствующему их кул</w:t>
      </w:r>
      <w:r w:rsidR="00B138BC" w:rsidRPr="00741FF6">
        <w:rPr>
          <w:b/>
        </w:rPr>
        <w:t>ь</w:t>
      </w:r>
      <w:r w:rsidR="00B138BC" w:rsidRPr="00741FF6">
        <w:rPr>
          <w:b/>
        </w:rPr>
        <w:t xml:space="preserve">туре жилью и, в необходимых случаях, предоставить оборудованные места для размещения рома, цыганам и </w:t>
      </w:r>
      <w:proofErr w:type="spellStart"/>
      <w:r w:rsidR="00B138BC" w:rsidRPr="00741FF6">
        <w:rPr>
          <w:b/>
        </w:rPr>
        <w:t>тревеллерам</w:t>
      </w:r>
      <w:proofErr w:type="spellEnd"/>
      <w:r w:rsidR="00B138BC" w:rsidRPr="00741FF6">
        <w:rPr>
          <w:b/>
        </w:rPr>
        <w:t>; принять меры для нед</w:t>
      </w:r>
      <w:r w:rsidR="00B138BC" w:rsidRPr="00741FF6">
        <w:rPr>
          <w:b/>
        </w:rPr>
        <w:t>о</w:t>
      </w:r>
      <w:r w:rsidR="00B138BC" w:rsidRPr="00741FF6">
        <w:rPr>
          <w:b/>
        </w:rPr>
        <w:t>пущения любых форм дискриминации при предоставлении жилья; отм</w:t>
      </w:r>
      <w:r w:rsidR="00B138BC" w:rsidRPr="00741FF6">
        <w:rPr>
          <w:b/>
        </w:rPr>
        <w:t>е</w:t>
      </w:r>
      <w:r w:rsidR="00B138BC" w:rsidRPr="00741FF6">
        <w:rPr>
          <w:b/>
        </w:rPr>
        <w:t>нить постановление о несанкционированных поселениях (Северная И</w:t>
      </w:r>
      <w:r w:rsidR="00B138BC" w:rsidRPr="00741FF6">
        <w:rPr>
          <w:b/>
        </w:rPr>
        <w:t>р</w:t>
      </w:r>
      <w:r w:rsidR="00B138BC" w:rsidRPr="00741FF6">
        <w:rPr>
          <w:b/>
        </w:rPr>
        <w:t xml:space="preserve">ландия) 2005 года; </w:t>
      </w:r>
    </w:p>
    <w:p w:rsidR="00B138BC" w:rsidRPr="00741FF6" w:rsidRDefault="00741FF6" w:rsidP="00B138BC">
      <w:pPr>
        <w:pStyle w:val="SingleTxtGR"/>
        <w:rPr>
          <w:b/>
        </w:rPr>
      </w:pPr>
      <w:r w:rsidRPr="00741FF6">
        <w:rPr>
          <w:b/>
        </w:rPr>
        <w:tab/>
      </w:r>
      <w:r w:rsidR="00B138BC" w:rsidRPr="00741FF6">
        <w:rPr>
          <w:b/>
        </w:rPr>
        <w:t>e)</w:t>
      </w:r>
      <w:r w:rsidR="00B138BC" w:rsidRPr="00741FF6">
        <w:rPr>
          <w:b/>
        </w:rPr>
        <w:tab/>
        <w:t>активизировать усилия по поискам решений для преодоления сохраняющегося неравенства в жилищной сфере, затрагивающего катол</w:t>
      </w:r>
      <w:r w:rsidR="00B138BC" w:rsidRPr="00741FF6">
        <w:rPr>
          <w:b/>
        </w:rPr>
        <w:t>и</w:t>
      </w:r>
      <w:r w:rsidR="00B138BC" w:rsidRPr="00741FF6">
        <w:rPr>
          <w:b/>
        </w:rPr>
        <w:t>ческие семьи в северной части Белфаста, в том числе посредством полн</w:t>
      </w:r>
      <w:r w:rsidR="00B138BC" w:rsidRPr="00741FF6">
        <w:rPr>
          <w:b/>
        </w:rPr>
        <w:t>о</w:t>
      </w:r>
      <w:r w:rsidR="00B138BC" w:rsidRPr="00741FF6">
        <w:rPr>
          <w:b/>
        </w:rPr>
        <w:t>ценного участия всех субъектов в процессах принятия решений, каса</w:t>
      </w:r>
      <w:r w:rsidR="00B138BC" w:rsidRPr="00741FF6">
        <w:rPr>
          <w:b/>
        </w:rPr>
        <w:t>ю</w:t>
      </w:r>
      <w:r w:rsidR="00B138BC" w:rsidRPr="00741FF6">
        <w:rPr>
          <w:b/>
        </w:rPr>
        <w:t>щихся жилищной сферы.</w:t>
      </w:r>
    </w:p>
    <w:p w:rsidR="00B138BC" w:rsidRPr="00B138BC" w:rsidRDefault="00741FF6" w:rsidP="00741FF6">
      <w:pPr>
        <w:pStyle w:val="H23GR"/>
      </w:pPr>
      <w:r>
        <w:tab/>
      </w:r>
      <w:r>
        <w:tab/>
      </w:r>
      <w:r w:rsidR="00B138BC" w:rsidRPr="00B138BC">
        <w:t>Бездомность</w:t>
      </w:r>
    </w:p>
    <w:p w:rsidR="00B138BC" w:rsidRPr="00B138BC" w:rsidRDefault="00B138BC" w:rsidP="00B138BC">
      <w:pPr>
        <w:pStyle w:val="SingleTxtGR"/>
        <w:rPr>
          <w:bCs/>
        </w:rPr>
      </w:pPr>
      <w:r w:rsidRPr="00B138BC">
        <w:t>51.</w:t>
      </w:r>
      <w:r w:rsidRPr="00B138BC">
        <w:tab/>
        <w:t>Комитет обеспокоен значительным ростом в государстве-участнике, ос</w:t>
      </w:r>
      <w:r w:rsidRPr="00B138BC">
        <w:t>о</w:t>
      </w:r>
      <w:r w:rsidRPr="00B138BC">
        <w:t>бенно в Англии и Северной Ирландии, числа бездомных, которыми становятся, главным образом, одинокие лица, семьи с детьми, жертвы насилия в семье, и</w:t>
      </w:r>
      <w:r w:rsidRPr="00B138BC">
        <w:t>н</w:t>
      </w:r>
      <w:r w:rsidRPr="00B138BC">
        <w:t xml:space="preserve">валиды и просители убежища. Комитет также с обеспокоенностью отмечает негативное воздействие, которое реформы системы социального обеспечения и уменьшение объема финансовой поддержки органов местного самоуправления оказывают на осуществление </w:t>
      </w:r>
      <w:proofErr w:type="gramStart"/>
      <w:r w:rsidRPr="00B138BC">
        <w:t>права</w:t>
      </w:r>
      <w:proofErr w:type="gramEnd"/>
      <w:r w:rsidRPr="00B138BC">
        <w:t xml:space="preserve"> на достаточное жилище, в особенности вв</w:t>
      </w:r>
      <w:r w:rsidRPr="00B138BC">
        <w:t>е</w:t>
      </w:r>
      <w:r w:rsidRPr="00B138BC">
        <w:t>дение в государстве-участнике уголовной ответственности за ночевку на улице (статья 11).</w:t>
      </w:r>
    </w:p>
    <w:p w:rsidR="00B138BC" w:rsidRPr="00741FF6" w:rsidRDefault="00B138BC" w:rsidP="00B138BC">
      <w:pPr>
        <w:pStyle w:val="SingleTxtGR"/>
        <w:rPr>
          <w:b/>
        </w:rPr>
      </w:pPr>
      <w:r w:rsidRPr="00B138BC">
        <w:t>52.</w:t>
      </w:r>
      <w:r w:rsidRPr="00B138BC">
        <w:tab/>
      </w:r>
      <w:r w:rsidRPr="00741FF6">
        <w:rPr>
          <w:b/>
        </w:rPr>
        <w:t>Комитет настоятельно призывает государство-участник принять незамедлительные меры, в том числе посредством выделения соотве</w:t>
      </w:r>
      <w:r w:rsidRPr="00741FF6">
        <w:rPr>
          <w:b/>
        </w:rPr>
        <w:t>т</w:t>
      </w:r>
      <w:r w:rsidRPr="00741FF6">
        <w:rPr>
          <w:b/>
        </w:rPr>
        <w:t>ствующих средств органам местного самоуправления, для уменьшения и</w:t>
      </w:r>
      <w:r w:rsidRPr="00741FF6">
        <w:rPr>
          <w:b/>
        </w:rPr>
        <w:t>с</w:t>
      </w:r>
      <w:r w:rsidRPr="00741FF6">
        <w:rPr>
          <w:b/>
        </w:rPr>
        <w:t>ключительно высокого числа бездомных, особенно в Англии и Северной Ирландии, и обеспечить достаточное количество мест для приема таких лиц, в том числе временных приютов и общежитий, а также центров соц</w:t>
      </w:r>
      <w:r w:rsidRPr="00741FF6">
        <w:rPr>
          <w:b/>
        </w:rPr>
        <w:t>и</w:t>
      </w:r>
      <w:r w:rsidRPr="00741FF6">
        <w:rPr>
          <w:b/>
        </w:rPr>
        <w:t xml:space="preserve">альной реабилитации. Комитет настоятельно призывает государство-участник принять все необходимые меры, с </w:t>
      </w:r>
      <w:proofErr w:type="gramStart"/>
      <w:r w:rsidRPr="00741FF6">
        <w:rPr>
          <w:b/>
        </w:rPr>
        <w:t>тем</w:t>
      </w:r>
      <w:proofErr w:type="gramEnd"/>
      <w:r w:rsidRPr="00741FF6">
        <w:rPr>
          <w:b/>
        </w:rPr>
        <w:t xml:space="preserve"> чтобы не допускать пр</w:t>
      </w:r>
      <w:r w:rsidRPr="00741FF6">
        <w:rPr>
          <w:b/>
        </w:rPr>
        <w:t>и</w:t>
      </w:r>
      <w:r w:rsidRPr="00741FF6">
        <w:rPr>
          <w:b/>
        </w:rPr>
        <w:t>влечения к уголовной ответственности за ночевки на улице в государстве-участнике, а также разработать соответствующие стратегии и программы, направленные на социальную реинтеграцию бездомных. В этой связи К</w:t>
      </w:r>
      <w:r w:rsidRPr="00741FF6">
        <w:rPr>
          <w:b/>
        </w:rPr>
        <w:t>о</w:t>
      </w:r>
      <w:r w:rsidRPr="00741FF6">
        <w:rPr>
          <w:b/>
        </w:rPr>
        <w:t>митет обращает внимание государства-участника на свое замечание общ</w:t>
      </w:r>
      <w:r w:rsidRPr="00741FF6">
        <w:rPr>
          <w:b/>
        </w:rPr>
        <w:t>е</w:t>
      </w:r>
      <w:r w:rsidRPr="00741FF6">
        <w:rPr>
          <w:b/>
        </w:rPr>
        <w:t>го порядка № 4 (1991) о праве на достаточное жилище.</w:t>
      </w:r>
    </w:p>
    <w:p w:rsidR="00B138BC" w:rsidRPr="00B138BC" w:rsidRDefault="00741FF6" w:rsidP="00741FF6">
      <w:pPr>
        <w:pStyle w:val="H23GR"/>
      </w:pPr>
      <w:r>
        <w:tab/>
      </w:r>
      <w:r>
        <w:tab/>
      </w:r>
      <w:r w:rsidR="00B138BC" w:rsidRPr="00B138BC">
        <w:t>Право на питание</w:t>
      </w:r>
    </w:p>
    <w:p w:rsidR="00B138BC" w:rsidRPr="00B138BC" w:rsidRDefault="00B138BC" w:rsidP="00B138BC">
      <w:pPr>
        <w:pStyle w:val="SingleTxtGR"/>
      </w:pPr>
      <w:r w:rsidRPr="00B138BC">
        <w:t>53.</w:t>
      </w:r>
      <w:r w:rsidRPr="00B138BC">
        <w:tab/>
        <w:t>Комитет обеспокоен тем, что государство-участник не принимает надл</w:t>
      </w:r>
      <w:r w:rsidRPr="00B138BC">
        <w:t>е</w:t>
      </w:r>
      <w:r w:rsidRPr="00B138BC">
        <w:t>жащих мер для того, чтобы укреплять продовольственную безопасность, ур</w:t>
      </w:r>
      <w:r w:rsidRPr="00B138BC">
        <w:t>о</w:t>
      </w:r>
      <w:r w:rsidRPr="00B138BC">
        <w:t>вень которой уменьшается, бороться с неправильным питанием и ожирением, а также мер по уменьшению зависимости от банков продовольствия. Кроме того, Комитет обеспокоен тем, что принимается недостаточно надлежащих мер для увеличения показателей грудного вскармливания (статья 12).</w:t>
      </w:r>
    </w:p>
    <w:p w:rsidR="00B138BC" w:rsidRPr="00741FF6" w:rsidRDefault="00B138BC" w:rsidP="00B138BC">
      <w:pPr>
        <w:pStyle w:val="SingleTxtGR"/>
        <w:rPr>
          <w:b/>
        </w:rPr>
      </w:pPr>
      <w:r w:rsidRPr="00B138BC">
        <w:t>54.</w:t>
      </w:r>
      <w:r w:rsidRPr="00B138BC">
        <w:tab/>
      </w:r>
      <w:r w:rsidRPr="00741FF6">
        <w:rPr>
          <w:b/>
        </w:rPr>
        <w:t>Комитет рекомендует государству-участнику разработать всеобъе</w:t>
      </w:r>
      <w:r w:rsidRPr="00741FF6">
        <w:rPr>
          <w:b/>
        </w:rPr>
        <w:t>м</w:t>
      </w:r>
      <w:r w:rsidRPr="00741FF6">
        <w:rPr>
          <w:b/>
        </w:rPr>
        <w:t>лющую национальную стратегию защиты и поощрения права на достато</w:t>
      </w:r>
      <w:r w:rsidRPr="00741FF6">
        <w:rPr>
          <w:b/>
        </w:rPr>
        <w:t>ч</w:t>
      </w:r>
      <w:r w:rsidRPr="00741FF6">
        <w:rPr>
          <w:b/>
        </w:rPr>
        <w:t>ное питание в целях повышения продовольственной безопасности во всех юрисдикциях государства-участника и пропаганды более здорового пит</w:t>
      </w:r>
      <w:r w:rsidRPr="00741FF6">
        <w:rPr>
          <w:b/>
        </w:rPr>
        <w:t>а</w:t>
      </w:r>
      <w:r w:rsidRPr="00741FF6">
        <w:rPr>
          <w:b/>
        </w:rPr>
        <w:t>ния. Такая стратегия должна предусматривать политику в поддержку грудного вскармливания в соответствии с резолюциями Всемирной асса</w:t>
      </w:r>
      <w:r w:rsidRPr="00741FF6">
        <w:rPr>
          <w:b/>
        </w:rPr>
        <w:t>м</w:t>
      </w:r>
      <w:r w:rsidRPr="00741FF6">
        <w:rPr>
          <w:b/>
        </w:rPr>
        <w:t>блеи здравоохранения, в том числе перерывы для кормления грудью или помещения для кормления грудью в образовательных заведениях и на р</w:t>
      </w:r>
      <w:r w:rsidRPr="00741FF6">
        <w:rPr>
          <w:b/>
        </w:rPr>
        <w:t>а</w:t>
      </w:r>
      <w:r w:rsidRPr="00741FF6">
        <w:rPr>
          <w:b/>
        </w:rPr>
        <w:t xml:space="preserve">бочих местах. Комитет рекомендует государству-участнику также повысить налоги на вредные для здоровья продукты питания и сладкие напитки и изучить возможность введения строгих правил сбыта таких продуктов, обеспечив при этом более широкий доступ к здоровому питанию. </w:t>
      </w:r>
      <w:proofErr w:type="gramStart"/>
      <w:r w:rsidRPr="00741FF6">
        <w:rPr>
          <w:b/>
        </w:rPr>
        <w:t>Комитет обращает внимание государства-участника на свое замечание общего п</w:t>
      </w:r>
      <w:r w:rsidRPr="00741FF6">
        <w:rPr>
          <w:b/>
        </w:rPr>
        <w:t>о</w:t>
      </w:r>
      <w:r w:rsidRPr="00741FF6">
        <w:rPr>
          <w:b/>
        </w:rPr>
        <w:t>рядка № 12 (1999) о праве на достаточное питание и на Добровольные р</w:t>
      </w:r>
      <w:r w:rsidRPr="00741FF6">
        <w:rPr>
          <w:b/>
        </w:rPr>
        <w:t>у</w:t>
      </w:r>
      <w:r w:rsidRPr="00741FF6">
        <w:rPr>
          <w:b/>
        </w:rPr>
        <w:t>ководящие принципы поддержки постепенной реализации права на дост</w:t>
      </w:r>
      <w:r w:rsidRPr="00741FF6">
        <w:rPr>
          <w:b/>
        </w:rPr>
        <w:t>а</w:t>
      </w:r>
      <w:r w:rsidRPr="00741FF6">
        <w:rPr>
          <w:b/>
        </w:rPr>
        <w:t>точное питание в контексте национальной продовольственной безопасн</w:t>
      </w:r>
      <w:r w:rsidRPr="00741FF6">
        <w:rPr>
          <w:b/>
        </w:rPr>
        <w:t>о</w:t>
      </w:r>
      <w:r w:rsidRPr="00741FF6">
        <w:rPr>
          <w:b/>
        </w:rPr>
        <w:t>сти, принятые Продовольственной и сельскохозяйственной организацией Организации Объединенных Наций, а также на Международный свод пр</w:t>
      </w:r>
      <w:r w:rsidRPr="00741FF6">
        <w:rPr>
          <w:b/>
        </w:rPr>
        <w:t>а</w:t>
      </w:r>
      <w:r w:rsidRPr="00741FF6">
        <w:rPr>
          <w:b/>
        </w:rPr>
        <w:t>вил по сбыту заменителей грудного молока.</w:t>
      </w:r>
      <w:proofErr w:type="gramEnd"/>
    </w:p>
    <w:p w:rsidR="00B138BC" w:rsidRPr="00B138BC" w:rsidRDefault="00741FF6" w:rsidP="00741FF6">
      <w:pPr>
        <w:pStyle w:val="H23GR"/>
      </w:pPr>
      <w:r>
        <w:tab/>
      </w:r>
      <w:r>
        <w:tab/>
      </w:r>
      <w:r w:rsidR="00B138BC" w:rsidRPr="00B138BC">
        <w:t>Доступ к здравоохранению</w:t>
      </w:r>
    </w:p>
    <w:p w:rsidR="00B138BC" w:rsidRPr="00B138BC" w:rsidRDefault="00B138BC" w:rsidP="00B138BC">
      <w:pPr>
        <w:pStyle w:val="SingleTxtGR"/>
      </w:pPr>
      <w:r w:rsidRPr="00B138BC">
        <w:t>55.</w:t>
      </w:r>
      <w:r w:rsidRPr="00B138BC">
        <w:tab/>
        <w:t>Комитет обеспокоен тем, что беженцы, просители убежища и лица, пол</w:t>
      </w:r>
      <w:r w:rsidRPr="00B138BC">
        <w:t>у</w:t>
      </w:r>
      <w:r w:rsidRPr="00B138BC">
        <w:t xml:space="preserve">чившие отказ в удовлетворении ходатайства об убежище, а также рома, цыгане и </w:t>
      </w:r>
      <w:proofErr w:type="spellStart"/>
      <w:r w:rsidRPr="00B138BC">
        <w:t>тревеллеры</w:t>
      </w:r>
      <w:proofErr w:type="spellEnd"/>
      <w:r w:rsidRPr="00B138BC">
        <w:t xml:space="preserve"> по-прежнему сталкиваются с дискриминацией в процессе доступа к медицинскому обслуживанию. Комитет отмечает, что Закон об иммиграции 2014 года еще строже ограничил доступ к медицинским услугам для временных и нелегальных мигрантов (статья 12).</w:t>
      </w:r>
    </w:p>
    <w:p w:rsidR="00B138BC" w:rsidRPr="00741FF6" w:rsidRDefault="00B138BC" w:rsidP="00B138BC">
      <w:pPr>
        <w:pStyle w:val="SingleTxtGR"/>
        <w:rPr>
          <w:b/>
        </w:rPr>
      </w:pPr>
      <w:r w:rsidRPr="00B138BC">
        <w:t>56.</w:t>
      </w:r>
      <w:r w:rsidRPr="00B138BC">
        <w:tab/>
      </w:r>
      <w:proofErr w:type="gramStart"/>
      <w:r w:rsidRPr="00741FF6">
        <w:rPr>
          <w:b/>
        </w:rPr>
        <w:t>Комитет рекомендует государству-участнику принять меры по обе</w:t>
      </w:r>
      <w:r w:rsidRPr="00741FF6">
        <w:rPr>
          <w:b/>
        </w:rPr>
        <w:t>с</w:t>
      </w:r>
      <w:r w:rsidRPr="00741FF6">
        <w:rPr>
          <w:b/>
        </w:rPr>
        <w:t>печению временным и нелегальным мигрантам, просителям убежища, л</w:t>
      </w:r>
      <w:r w:rsidRPr="00741FF6">
        <w:rPr>
          <w:b/>
        </w:rPr>
        <w:t>и</w:t>
      </w:r>
      <w:r w:rsidRPr="00741FF6">
        <w:rPr>
          <w:b/>
        </w:rPr>
        <w:t>цам, получившим отказ в удовлетворении ходатайства об убежище, беже</w:t>
      </w:r>
      <w:r w:rsidRPr="00741FF6">
        <w:rPr>
          <w:b/>
        </w:rPr>
        <w:t>н</w:t>
      </w:r>
      <w:r w:rsidRPr="00741FF6">
        <w:rPr>
          <w:b/>
        </w:rPr>
        <w:t xml:space="preserve">цам, а также рома, цыганам и </w:t>
      </w:r>
      <w:proofErr w:type="spellStart"/>
      <w:r w:rsidRPr="00741FF6">
        <w:rPr>
          <w:b/>
        </w:rPr>
        <w:t>тревеллерам</w:t>
      </w:r>
      <w:proofErr w:type="spellEnd"/>
      <w:r w:rsidRPr="00741FF6">
        <w:rPr>
          <w:b/>
        </w:rPr>
        <w:t xml:space="preserve"> доступа ко всем необходимым медицинским услугам, и напоминает государству-участнику о том, что в соответствии с положениями статьи 12 Пакта медицинские учреждения, товары и услуги должны быть доступными для всех без какой-либо ди</w:t>
      </w:r>
      <w:r w:rsidRPr="00741FF6">
        <w:rPr>
          <w:b/>
        </w:rPr>
        <w:t>с</w:t>
      </w:r>
      <w:r w:rsidRPr="00741FF6">
        <w:rPr>
          <w:b/>
        </w:rPr>
        <w:t>криминации</w:t>
      </w:r>
      <w:proofErr w:type="gramEnd"/>
      <w:r w:rsidRPr="00741FF6">
        <w:rPr>
          <w:b/>
        </w:rPr>
        <w:t>. Комитет обращает внимание государства-участника на свое замечание общего порядка № 14 (2000) о праве на наивысший достижимый уровень здоровья.</w:t>
      </w:r>
    </w:p>
    <w:p w:rsidR="00B138BC" w:rsidRPr="00B138BC" w:rsidRDefault="00741FF6" w:rsidP="00741FF6">
      <w:pPr>
        <w:pStyle w:val="H23GR"/>
      </w:pPr>
      <w:r>
        <w:tab/>
      </w:r>
      <w:r>
        <w:tab/>
      </w:r>
      <w:r w:rsidR="00B138BC" w:rsidRPr="00B138BC">
        <w:t>Психическое здоровье</w:t>
      </w:r>
    </w:p>
    <w:p w:rsidR="00B138BC" w:rsidRPr="00B138BC" w:rsidRDefault="00B138BC" w:rsidP="00B138BC">
      <w:pPr>
        <w:pStyle w:val="SingleTxtGR"/>
      </w:pPr>
      <w:r w:rsidRPr="00B138BC">
        <w:t>57.</w:t>
      </w:r>
      <w:r w:rsidRPr="00B138BC">
        <w:tab/>
        <w:t>Несмотря на то, что Законом о медицинской и социальной помощи 2012</w:t>
      </w:r>
      <w:r w:rsidR="00B63737">
        <w:rPr>
          <w:lang w:val="en-US"/>
        </w:rPr>
        <w:t> </w:t>
      </w:r>
      <w:r w:rsidRPr="00B138BC">
        <w:t>года предусмотрена обязанность обеспечить равноценную помощь как в области физического, так и психического здоровья, Комитет обеспокоен тем, что психиатрическим учреждениям выделяется недостаточно надлежащих р</w:t>
      </w:r>
      <w:r w:rsidRPr="00B138BC">
        <w:t>е</w:t>
      </w:r>
      <w:r w:rsidRPr="00B138BC">
        <w:t>сурсов. Комитет с обеспокоенностью отмечает информацию о недостатках в осуществлении законодательства в области психического здоровья и отсутствии надлежащей психиатрической помощи лицам, содержащимся под стражей (ст</w:t>
      </w:r>
      <w:r w:rsidRPr="00B138BC">
        <w:t>а</w:t>
      </w:r>
      <w:r w:rsidRPr="00B138BC">
        <w:t>тья 12).</w:t>
      </w:r>
    </w:p>
    <w:p w:rsidR="00B138BC" w:rsidRPr="009A7F1E" w:rsidRDefault="00B138BC" w:rsidP="00B138BC">
      <w:pPr>
        <w:pStyle w:val="SingleTxtGR"/>
        <w:rPr>
          <w:b/>
        </w:rPr>
      </w:pPr>
      <w:r w:rsidRPr="00B138BC">
        <w:t>58.</w:t>
      </w:r>
      <w:r w:rsidRPr="00B138BC">
        <w:tab/>
      </w:r>
      <w:r w:rsidRPr="009A7F1E">
        <w:rPr>
          <w:b/>
        </w:rPr>
        <w:t>Комитет рекомендует государству-участнику обеспечить эффекти</w:t>
      </w:r>
      <w:r w:rsidRPr="009A7F1E">
        <w:rPr>
          <w:b/>
        </w:rPr>
        <w:t>в</w:t>
      </w:r>
      <w:r w:rsidRPr="009A7F1E">
        <w:rPr>
          <w:b/>
        </w:rPr>
        <w:t>ное исполнение обязанности, предусмотренной Законом о медицинской и социальной помощи 2012 года, и выделить достаточно ресурсов сектору охраны психического здоровья. Комитет настоятельно призывает госуда</w:t>
      </w:r>
      <w:r w:rsidRPr="009A7F1E">
        <w:rPr>
          <w:b/>
        </w:rPr>
        <w:t>р</w:t>
      </w:r>
      <w:r w:rsidRPr="009A7F1E">
        <w:rPr>
          <w:b/>
        </w:rPr>
        <w:t>ство-участник продолжать прилагать усилия для обеспечения эффективн</w:t>
      </w:r>
      <w:r w:rsidRPr="009A7F1E">
        <w:rPr>
          <w:b/>
        </w:rPr>
        <w:t>о</w:t>
      </w:r>
      <w:r w:rsidRPr="009A7F1E">
        <w:rPr>
          <w:b/>
        </w:rPr>
        <w:t>го осуществления законодательства в области психического здоровья во всех юрисдикциях государства-участника, а также гарантировать досту</w:t>
      </w:r>
      <w:r w:rsidRPr="009A7F1E">
        <w:rPr>
          <w:b/>
        </w:rPr>
        <w:t>п</w:t>
      </w:r>
      <w:r w:rsidRPr="009A7F1E">
        <w:rPr>
          <w:b/>
        </w:rPr>
        <w:t>ность, наличие и качество психиатрической помощи, в том числе лицам, содержащимся под стражей.</w:t>
      </w:r>
    </w:p>
    <w:p w:rsidR="00B138BC" w:rsidRPr="00B138BC" w:rsidRDefault="009A7F1E" w:rsidP="009A7F1E">
      <w:pPr>
        <w:pStyle w:val="H23GR"/>
      </w:pPr>
      <w:r>
        <w:tab/>
      </w:r>
      <w:r>
        <w:tab/>
      </w:r>
      <w:r w:rsidR="00B138BC" w:rsidRPr="00B138BC">
        <w:t>Социальное обеспечение пожилых людей</w:t>
      </w:r>
    </w:p>
    <w:p w:rsidR="00B138BC" w:rsidRPr="00B138BC" w:rsidRDefault="00B138BC" w:rsidP="00B138BC">
      <w:pPr>
        <w:pStyle w:val="SingleTxtGR"/>
      </w:pPr>
      <w:r w:rsidRPr="00B138BC">
        <w:t>59.</w:t>
      </w:r>
      <w:r w:rsidRPr="00B138BC">
        <w:tab/>
        <w:t>Комитет по-прежнему обеспокоен сообщениями о сохраняющихся сер</w:t>
      </w:r>
      <w:r w:rsidRPr="00B138BC">
        <w:t>ь</w:t>
      </w:r>
      <w:r w:rsidRPr="00B138BC">
        <w:t>езных недостатках в уходе за пожилыми людьми и их лечении, в том числе это касается лиц с деменцией. Комитет обеспокоен также сообщениями, в которых говорится о связи между увеличением смертности пожилых людей и уменьш</w:t>
      </w:r>
      <w:r w:rsidRPr="00B138BC">
        <w:t>е</w:t>
      </w:r>
      <w:r w:rsidRPr="00B138BC">
        <w:t>ниями пенсионных выплат (статья 12).</w:t>
      </w:r>
    </w:p>
    <w:p w:rsidR="00B138BC" w:rsidRPr="009A7F1E" w:rsidRDefault="00B138BC" w:rsidP="00B138BC">
      <w:pPr>
        <w:pStyle w:val="SingleTxtGR"/>
        <w:rPr>
          <w:b/>
        </w:rPr>
      </w:pPr>
      <w:r w:rsidRPr="00B138BC">
        <w:t>60.</w:t>
      </w:r>
      <w:r w:rsidRPr="00B138BC">
        <w:tab/>
      </w:r>
      <w:proofErr w:type="gramStart"/>
      <w:r w:rsidRPr="009A7F1E">
        <w:rPr>
          <w:b/>
        </w:rPr>
        <w:t>Комитет повторяет ранее в</w:t>
      </w:r>
      <w:r w:rsidR="009A7F1E">
        <w:rPr>
          <w:b/>
        </w:rPr>
        <w:t xml:space="preserve">ынесенную им рекомендацию (см. </w:t>
      </w:r>
      <w:r w:rsidRPr="009A7F1E">
        <w:rPr>
          <w:b/>
        </w:rPr>
        <w:t>E/C.12/</w:t>
      </w:r>
      <w:r w:rsidR="009A7F1E">
        <w:rPr>
          <w:b/>
        </w:rPr>
        <w:br/>
      </w:r>
      <w:r w:rsidRPr="009A7F1E">
        <w:rPr>
          <w:b/>
        </w:rPr>
        <w:t>GBR/CO/5, пункт 34) и настоятельно призывает государство-участник принять все необходимые меры для предоставления пожилым людям соо</w:t>
      </w:r>
      <w:r w:rsidRPr="009A7F1E">
        <w:rPr>
          <w:b/>
        </w:rPr>
        <w:t>т</w:t>
      </w:r>
      <w:r w:rsidRPr="009A7F1E">
        <w:rPr>
          <w:b/>
        </w:rPr>
        <w:t>ветствующих пенсий, ухода и лечения, в том числе посредством осущест</w:t>
      </w:r>
      <w:r w:rsidRPr="009A7F1E">
        <w:rPr>
          <w:b/>
        </w:rPr>
        <w:t>в</w:t>
      </w:r>
      <w:r w:rsidRPr="009A7F1E">
        <w:rPr>
          <w:b/>
        </w:rPr>
        <w:t>ления программ подготовки врачей и медицинских работников по теме прав пожилых людей и лечения деменции и болезни Альцгеймера.</w:t>
      </w:r>
      <w:proofErr w:type="gramEnd"/>
    </w:p>
    <w:p w:rsidR="00B138BC" w:rsidRPr="00B138BC" w:rsidRDefault="009A7F1E" w:rsidP="009A7F1E">
      <w:pPr>
        <w:pStyle w:val="H23GR"/>
      </w:pPr>
      <w:r>
        <w:tab/>
      </w:r>
      <w:r>
        <w:tab/>
      </w:r>
      <w:r w:rsidR="00B138BC" w:rsidRPr="00B138BC">
        <w:t>Прерывание беременности</w:t>
      </w:r>
    </w:p>
    <w:p w:rsidR="00B138BC" w:rsidRPr="00B138BC" w:rsidRDefault="00B138BC" w:rsidP="00B138BC">
      <w:pPr>
        <w:pStyle w:val="SingleTxtGR"/>
      </w:pPr>
      <w:r w:rsidRPr="00B138BC">
        <w:t>61.</w:t>
      </w:r>
      <w:r w:rsidRPr="00B138BC">
        <w:tab/>
      </w:r>
      <w:proofErr w:type="gramStart"/>
      <w:r w:rsidRPr="00B138BC">
        <w:t>Комитет обеспокоен тем, что в Северной Ирландии по-прежнему пред</w:t>
      </w:r>
      <w:r w:rsidRPr="00B138BC">
        <w:t>у</w:t>
      </w:r>
      <w:r w:rsidRPr="00B138BC">
        <w:t>смотрена уголовная ответственность за прерывание беременности во всех сл</w:t>
      </w:r>
      <w:r w:rsidRPr="00B138BC">
        <w:t>у</w:t>
      </w:r>
      <w:r w:rsidRPr="00B138BC">
        <w:t>чаях, кроме случаев угрозы для жизни женщины, что может приводить к небе</w:t>
      </w:r>
      <w:r w:rsidR="00AA7298">
        <w:t>-</w:t>
      </w:r>
      <w:proofErr w:type="spellStart"/>
      <w:r w:rsidRPr="00B138BC">
        <w:t>зопасным</w:t>
      </w:r>
      <w:proofErr w:type="spellEnd"/>
      <w:r w:rsidRPr="00B138BC">
        <w:t xml:space="preserve"> абортам и в гораздо большей степени затрагивает женщин из мал</w:t>
      </w:r>
      <w:r w:rsidRPr="00B138BC">
        <w:t>о</w:t>
      </w:r>
      <w:r w:rsidRPr="00B138BC">
        <w:t>обеспеченных семей, которые не имеют возможности получить эту услугу в других частях Соединенного Королевства (статья 12).</w:t>
      </w:r>
      <w:proofErr w:type="gramEnd"/>
    </w:p>
    <w:p w:rsidR="00B138BC" w:rsidRPr="009A7F1E" w:rsidRDefault="00B138BC" w:rsidP="00B138BC">
      <w:pPr>
        <w:pStyle w:val="SingleTxtGR"/>
        <w:rPr>
          <w:b/>
        </w:rPr>
      </w:pPr>
      <w:r w:rsidRPr="00B138BC">
        <w:t>62.</w:t>
      </w:r>
      <w:r w:rsidRPr="00B138BC">
        <w:tab/>
      </w:r>
      <w:r w:rsidRPr="009A7F1E">
        <w:rPr>
          <w:b/>
        </w:rPr>
        <w:t>Комитет рекомендует государству-участнику внести поправки в з</w:t>
      </w:r>
      <w:r w:rsidRPr="009A7F1E">
        <w:rPr>
          <w:b/>
        </w:rPr>
        <w:t>а</w:t>
      </w:r>
      <w:r w:rsidRPr="009A7F1E">
        <w:rPr>
          <w:b/>
        </w:rPr>
        <w:t>конодательство Северной Ирландии о прерывании беременности с целью привести его в соответствие с другими основными правами, такими как права женщин на здоровье, жизнь и достоинство. В этой связи Комитет о</w:t>
      </w:r>
      <w:r w:rsidRPr="009A7F1E">
        <w:rPr>
          <w:b/>
        </w:rPr>
        <w:t>б</w:t>
      </w:r>
      <w:r w:rsidRPr="009A7F1E">
        <w:rPr>
          <w:b/>
        </w:rPr>
        <w:t>ращает внимание государства-участника на свое замечание общего поря</w:t>
      </w:r>
      <w:r w:rsidRPr="009A7F1E">
        <w:rPr>
          <w:b/>
        </w:rPr>
        <w:t>д</w:t>
      </w:r>
      <w:r w:rsidRPr="009A7F1E">
        <w:rPr>
          <w:b/>
        </w:rPr>
        <w:t>ка № 22 (2016) о праве на сексуальное и репродуктивное здоровье.</w:t>
      </w:r>
    </w:p>
    <w:p w:rsidR="00B138BC" w:rsidRPr="00B138BC" w:rsidRDefault="009A7F1E" w:rsidP="009A7F1E">
      <w:pPr>
        <w:pStyle w:val="H23GR"/>
      </w:pPr>
      <w:r>
        <w:tab/>
      </w:r>
      <w:r>
        <w:tab/>
      </w:r>
      <w:r w:rsidR="00B138BC" w:rsidRPr="00B138BC">
        <w:t>Образование</w:t>
      </w:r>
    </w:p>
    <w:p w:rsidR="00B138BC" w:rsidRPr="00B138BC" w:rsidRDefault="00B138BC" w:rsidP="00B138BC">
      <w:pPr>
        <w:pStyle w:val="SingleTxtGR"/>
      </w:pPr>
      <w:r w:rsidRPr="00B138BC">
        <w:t>63.</w:t>
      </w:r>
      <w:r w:rsidRPr="00B138BC">
        <w:tab/>
        <w:t>Отмечая усилия государства-участника по уменьшению неравенства в сфере образования, Комитет по-прежнему обеспокоен тем, что уровень образ</w:t>
      </w:r>
      <w:r w:rsidRPr="00B138BC">
        <w:t>о</w:t>
      </w:r>
      <w:r w:rsidRPr="00B138BC">
        <w:t>вания остается неравным, в особенности неравенство касается детей, прина</w:t>
      </w:r>
      <w:r w:rsidRPr="00B138BC">
        <w:t>д</w:t>
      </w:r>
      <w:r w:rsidRPr="00B138BC">
        <w:t>лежащих к этническим, религиозным или другим меньшинствам, и детей из малообеспеченных семей, в результате чего в государстве-участнике огранич</w:t>
      </w:r>
      <w:r w:rsidRPr="00B138BC">
        <w:t>и</w:t>
      </w:r>
      <w:r w:rsidRPr="00B138BC">
        <w:t>вается социальная моби</w:t>
      </w:r>
      <w:r w:rsidR="00B63737">
        <w:t xml:space="preserve">льность </w:t>
      </w:r>
      <w:r w:rsidRPr="00B138BC">
        <w:t xml:space="preserve">(статья 13). </w:t>
      </w:r>
    </w:p>
    <w:p w:rsidR="00B138BC" w:rsidRPr="009A7F1E" w:rsidRDefault="00B138BC" w:rsidP="00B138BC">
      <w:pPr>
        <w:pStyle w:val="SingleTxtGR"/>
        <w:rPr>
          <w:b/>
        </w:rPr>
      </w:pPr>
      <w:r w:rsidRPr="00B138BC">
        <w:t>64.</w:t>
      </w:r>
      <w:r w:rsidRPr="00B138BC">
        <w:tab/>
      </w:r>
      <w:proofErr w:type="gramStart"/>
      <w:r w:rsidRPr="009A7F1E">
        <w:rPr>
          <w:b/>
        </w:rPr>
        <w:t>Комитет рекомендует государству-участнику принять все необход</w:t>
      </w:r>
      <w:r w:rsidRPr="009A7F1E">
        <w:rPr>
          <w:b/>
        </w:rPr>
        <w:t>и</w:t>
      </w:r>
      <w:r w:rsidRPr="009A7F1E">
        <w:rPr>
          <w:b/>
        </w:rPr>
        <w:t>мые меры для уменьшения разницы в успеваемости различных групп учащихся, особенно детей из малообеспеченных семей, в том числе путем пересмотра принятых программ жесткой экономии и эффективного ос</w:t>
      </w:r>
      <w:r w:rsidRPr="009A7F1E">
        <w:rPr>
          <w:b/>
        </w:rPr>
        <w:t>у</w:t>
      </w:r>
      <w:r w:rsidRPr="009A7F1E">
        <w:rPr>
          <w:b/>
        </w:rPr>
        <w:t>ществления мер, направленных на сокращение фактической дискримин</w:t>
      </w:r>
      <w:r w:rsidRPr="009A7F1E">
        <w:rPr>
          <w:b/>
        </w:rPr>
        <w:t>а</w:t>
      </w:r>
      <w:r w:rsidRPr="009A7F1E">
        <w:rPr>
          <w:b/>
        </w:rPr>
        <w:t>ции и сегрегации учащихся по признаку религиозной принадлежности, национального или социального происхождения, а также экономического положения.</w:t>
      </w:r>
      <w:proofErr w:type="gramEnd"/>
    </w:p>
    <w:p w:rsidR="00B138BC" w:rsidRPr="00B138BC" w:rsidRDefault="009A7F1E" w:rsidP="009A7F1E">
      <w:pPr>
        <w:pStyle w:val="H23GR"/>
      </w:pPr>
      <w:r>
        <w:tab/>
      </w:r>
      <w:r>
        <w:tab/>
      </w:r>
      <w:r w:rsidR="00B138BC" w:rsidRPr="00B138BC">
        <w:t>Высшее образование</w:t>
      </w:r>
    </w:p>
    <w:p w:rsidR="00B138BC" w:rsidRPr="00B138BC" w:rsidRDefault="00B138BC" w:rsidP="00B138BC">
      <w:pPr>
        <w:pStyle w:val="SingleTxtGR"/>
      </w:pPr>
      <w:r w:rsidRPr="00B138BC">
        <w:t>65.</w:t>
      </w:r>
      <w:r w:rsidRPr="00B138BC">
        <w:tab/>
        <w:t>Отмечая наличие в государстве-участнике различных систем поддержки доступа к высшему образованию, Комитет</w:t>
      </w:r>
      <w:r w:rsidR="00AA7298">
        <w:t>,</w:t>
      </w:r>
      <w:r w:rsidRPr="00B138BC">
        <w:t xml:space="preserve"> тем не менее</w:t>
      </w:r>
      <w:r w:rsidR="00AA7298">
        <w:t>,</w:t>
      </w:r>
      <w:r w:rsidRPr="00B138BC">
        <w:t xml:space="preserve"> выражает обеспок</w:t>
      </w:r>
      <w:r w:rsidRPr="00B138BC">
        <w:t>о</w:t>
      </w:r>
      <w:r w:rsidRPr="00B138BC">
        <w:t>енность в связи с ростом платы за обучение в вузах, что сказывается на равном доступе к высшему образованию (статья 13).</w:t>
      </w:r>
    </w:p>
    <w:p w:rsidR="00B138BC" w:rsidRPr="009A7F1E" w:rsidRDefault="00B138BC" w:rsidP="00B138BC">
      <w:pPr>
        <w:pStyle w:val="SingleTxtGR"/>
        <w:rPr>
          <w:b/>
        </w:rPr>
      </w:pPr>
      <w:r w:rsidRPr="00B138BC">
        <w:t>66.</w:t>
      </w:r>
      <w:r w:rsidRPr="00B138BC">
        <w:tab/>
      </w:r>
      <w:r w:rsidRPr="009A7F1E">
        <w:rPr>
          <w:b/>
        </w:rPr>
        <w:t>Комитет рекомендует государству-участнику принять все необход</w:t>
      </w:r>
      <w:r w:rsidRPr="009A7F1E">
        <w:rPr>
          <w:b/>
        </w:rPr>
        <w:t>и</w:t>
      </w:r>
      <w:r w:rsidRPr="009A7F1E">
        <w:rPr>
          <w:b/>
        </w:rPr>
        <w:t xml:space="preserve">мые меры для уменьшения платы за обучение в вузах, с </w:t>
      </w:r>
      <w:proofErr w:type="gramStart"/>
      <w:r w:rsidRPr="009A7F1E">
        <w:rPr>
          <w:b/>
        </w:rPr>
        <w:t>тем</w:t>
      </w:r>
      <w:proofErr w:type="gramEnd"/>
      <w:r w:rsidRPr="009A7F1E">
        <w:rPr>
          <w:b/>
        </w:rPr>
        <w:t xml:space="preserve"> чтобы сделать высшее образование в равной мере доступным для всех в соответствии со способностями, в том числе путем постепенного внедрения бесплатного высшего образования.</w:t>
      </w:r>
    </w:p>
    <w:p w:rsidR="00B138BC" w:rsidRPr="00B138BC" w:rsidRDefault="009A7F1E" w:rsidP="009A7F1E">
      <w:pPr>
        <w:pStyle w:val="H23GR"/>
      </w:pPr>
      <w:r>
        <w:tab/>
      </w:r>
      <w:r>
        <w:tab/>
      </w:r>
      <w:r w:rsidR="00B138BC" w:rsidRPr="00B138BC">
        <w:t>Ирландский язык</w:t>
      </w:r>
    </w:p>
    <w:p w:rsidR="00B138BC" w:rsidRPr="00B138BC" w:rsidRDefault="00B138BC" w:rsidP="00B138BC">
      <w:pPr>
        <w:pStyle w:val="SingleTxtGR"/>
      </w:pPr>
      <w:r w:rsidRPr="00B138BC">
        <w:t>67.</w:t>
      </w:r>
      <w:r w:rsidRPr="00B138BC">
        <w:tab/>
        <w:t>Комитет по-прежнему обеспокоен тем, что государство-участник не пр</w:t>
      </w:r>
      <w:r w:rsidRPr="00B138BC">
        <w:t>и</w:t>
      </w:r>
      <w:r w:rsidRPr="00B138BC">
        <w:t>нимает достаточно эффективных мер для поощрения использования ирландск</w:t>
      </w:r>
      <w:r w:rsidRPr="00B138BC">
        <w:t>о</w:t>
      </w:r>
      <w:r w:rsidRPr="00B138BC">
        <w:t>го языка в Северной Ирландии (статья 15).</w:t>
      </w:r>
    </w:p>
    <w:p w:rsidR="00B138BC" w:rsidRPr="009A7F1E" w:rsidRDefault="00B138BC" w:rsidP="00B138BC">
      <w:pPr>
        <w:pStyle w:val="SingleTxtGR"/>
        <w:rPr>
          <w:b/>
        </w:rPr>
      </w:pPr>
      <w:r w:rsidRPr="00B138BC">
        <w:t>68.</w:t>
      </w:r>
      <w:r w:rsidRPr="00B138BC">
        <w:tab/>
      </w:r>
      <w:r w:rsidRPr="009A7F1E">
        <w:rPr>
          <w:b/>
        </w:rPr>
        <w:t>Комитет повторяет ранее вынесенную им рекомендацию (E/C.12/</w:t>
      </w:r>
      <w:r w:rsidR="009A7F1E">
        <w:rPr>
          <w:b/>
        </w:rPr>
        <w:br/>
      </w:r>
      <w:r w:rsidRPr="009A7F1E">
        <w:rPr>
          <w:b/>
        </w:rPr>
        <w:t>GBR/CO/5, пункт 37) и рекомендует государству-участнику принять закон об ирландском языке.</w:t>
      </w:r>
    </w:p>
    <w:p w:rsidR="00B138BC" w:rsidRPr="00B138BC" w:rsidRDefault="00B138BC" w:rsidP="009A7F1E">
      <w:pPr>
        <w:pStyle w:val="H1GR"/>
      </w:pPr>
      <w:r w:rsidRPr="00B138BC">
        <w:tab/>
        <w:t>D.</w:t>
      </w:r>
      <w:r w:rsidRPr="00B138BC">
        <w:tab/>
        <w:t>Прочие рекомендации</w:t>
      </w:r>
    </w:p>
    <w:p w:rsidR="00B138BC" w:rsidRPr="009A7F1E" w:rsidRDefault="00B138BC" w:rsidP="00B138BC">
      <w:pPr>
        <w:pStyle w:val="SingleTxtGR"/>
        <w:rPr>
          <w:b/>
        </w:rPr>
      </w:pPr>
      <w:r w:rsidRPr="00B138BC">
        <w:t>69.</w:t>
      </w:r>
      <w:r w:rsidRPr="00B138BC">
        <w:tab/>
      </w:r>
      <w:r w:rsidRPr="009A7F1E">
        <w:rPr>
          <w:b/>
        </w:rPr>
        <w:t>Комитет призывает государство-участник ратифицировать Факул</w:t>
      </w:r>
      <w:r w:rsidRPr="009A7F1E">
        <w:rPr>
          <w:b/>
        </w:rPr>
        <w:t>ь</w:t>
      </w:r>
      <w:r w:rsidRPr="009A7F1E">
        <w:rPr>
          <w:b/>
        </w:rPr>
        <w:t>тативный протокол к Международному пакту об экономических, социал</w:t>
      </w:r>
      <w:r w:rsidRPr="009A7F1E">
        <w:rPr>
          <w:b/>
        </w:rPr>
        <w:t>ь</w:t>
      </w:r>
      <w:r w:rsidRPr="009A7F1E">
        <w:rPr>
          <w:b/>
        </w:rPr>
        <w:t>ных и культурных правах.</w:t>
      </w:r>
    </w:p>
    <w:p w:rsidR="00B138BC" w:rsidRPr="009A7F1E" w:rsidRDefault="00B138BC" w:rsidP="00B138BC">
      <w:pPr>
        <w:pStyle w:val="SingleTxtGR"/>
        <w:rPr>
          <w:b/>
        </w:rPr>
      </w:pPr>
      <w:r w:rsidRPr="00B138BC">
        <w:t>70.</w:t>
      </w:r>
      <w:r w:rsidRPr="00B138BC">
        <w:tab/>
      </w:r>
      <w:r w:rsidRPr="009A7F1E">
        <w:rPr>
          <w:b/>
        </w:rPr>
        <w:t>Комитет призывает государство-участник рассмотреть вопрос о р</w:t>
      </w:r>
      <w:r w:rsidRPr="009A7F1E">
        <w:rPr>
          <w:b/>
        </w:rPr>
        <w:t>а</w:t>
      </w:r>
      <w:r w:rsidRPr="009A7F1E">
        <w:rPr>
          <w:b/>
        </w:rPr>
        <w:t>тификации основных договоров по правам человека, стороной которых оно еще не является, а именно: Международной конвенции о защите прав всех трудящихся-мигрантов и членов их семей, Международной конвенции для защиты всех лиц от насильственных исчезновений, Факультативного пр</w:t>
      </w:r>
      <w:r w:rsidRPr="009A7F1E">
        <w:rPr>
          <w:b/>
        </w:rPr>
        <w:t>о</w:t>
      </w:r>
      <w:r w:rsidRPr="009A7F1E">
        <w:rPr>
          <w:b/>
        </w:rPr>
        <w:t>токола к Международному пакту о гражданских и политических правах и Факультативного протокола к Конвенции о правах ребенка, касающегося процедуры сообщений.</w:t>
      </w:r>
    </w:p>
    <w:p w:rsidR="00B138BC" w:rsidRPr="009A7F1E" w:rsidRDefault="00B138BC" w:rsidP="00B138BC">
      <w:pPr>
        <w:pStyle w:val="SingleTxtGR"/>
        <w:rPr>
          <w:b/>
        </w:rPr>
      </w:pPr>
      <w:r w:rsidRPr="00B138BC">
        <w:t>71.</w:t>
      </w:r>
      <w:r w:rsidRPr="00B138BC">
        <w:tab/>
      </w:r>
      <w:r w:rsidRPr="009A7F1E">
        <w:rPr>
          <w:b/>
        </w:rPr>
        <w:t>Комитет рекомендует государству-участнику предпринять шаги для поэтапной разработки и применения соответствующих показателей ос</w:t>
      </w:r>
      <w:r w:rsidRPr="009A7F1E">
        <w:rPr>
          <w:b/>
        </w:rPr>
        <w:t>у</w:t>
      </w:r>
      <w:r w:rsidRPr="009A7F1E">
        <w:rPr>
          <w:b/>
        </w:rPr>
        <w:t>ществления экономических, социальных и культурных прав с целью с</w:t>
      </w:r>
      <w:r w:rsidRPr="009A7F1E">
        <w:rPr>
          <w:b/>
        </w:rPr>
        <w:t>о</w:t>
      </w:r>
      <w:r w:rsidRPr="009A7F1E">
        <w:rPr>
          <w:b/>
        </w:rPr>
        <w:t>действия оценке прогресса, достигнутого государством-участником в деле соблюдения своих обязательств по Пакту в интересах различных групп населения. В этой связи Комитет обращает внимание государства-участника, в частности, на концептуальную и методологическую основу для показателей в области прав человека, разработанную Управлением Верховного комиссара Организации Объединенных Наций по правам ч</w:t>
      </w:r>
      <w:r w:rsidRPr="009A7F1E">
        <w:rPr>
          <w:b/>
        </w:rPr>
        <w:t>е</w:t>
      </w:r>
      <w:r w:rsidRPr="009A7F1E">
        <w:rPr>
          <w:b/>
        </w:rPr>
        <w:t>ловека (см. HRI/MC/2008/3).</w:t>
      </w:r>
    </w:p>
    <w:p w:rsidR="00B138BC" w:rsidRPr="009A7F1E" w:rsidRDefault="00B138BC" w:rsidP="00B138BC">
      <w:pPr>
        <w:pStyle w:val="SingleTxtGR"/>
        <w:rPr>
          <w:b/>
        </w:rPr>
      </w:pPr>
      <w:r w:rsidRPr="00B138BC">
        <w:t>72.</w:t>
      </w:r>
      <w:r w:rsidRPr="00B138BC">
        <w:tab/>
      </w:r>
      <w:proofErr w:type="gramStart"/>
      <w:r w:rsidRPr="009A7F1E">
        <w:rPr>
          <w:b/>
        </w:rPr>
        <w:t>Комитет просит государство-участник широко распространить настоящие заключительные замечания среди всех слоев общества на нац</w:t>
      </w:r>
      <w:r w:rsidRPr="009A7F1E">
        <w:rPr>
          <w:b/>
        </w:rPr>
        <w:t>и</w:t>
      </w:r>
      <w:r w:rsidRPr="009A7F1E">
        <w:rPr>
          <w:b/>
        </w:rPr>
        <w:t>ональном, региональном и территориальном уровнях, особенно среди па</w:t>
      </w:r>
      <w:r w:rsidRPr="009A7F1E">
        <w:rPr>
          <w:b/>
        </w:rPr>
        <w:t>р</w:t>
      </w:r>
      <w:r w:rsidRPr="009A7F1E">
        <w:rPr>
          <w:b/>
        </w:rPr>
        <w:t>ламентариев, государственных должностных лиц и сотрудников судебных органов, и информировать Комитет в своем следующем периодическом д</w:t>
      </w:r>
      <w:r w:rsidRPr="009A7F1E">
        <w:rPr>
          <w:b/>
        </w:rPr>
        <w:t>о</w:t>
      </w:r>
      <w:r w:rsidRPr="009A7F1E">
        <w:rPr>
          <w:b/>
        </w:rPr>
        <w:t>кладе о шагах, предпринятых с целью выполнения содержащихся в наст</w:t>
      </w:r>
      <w:r w:rsidRPr="009A7F1E">
        <w:rPr>
          <w:b/>
        </w:rPr>
        <w:t>о</w:t>
      </w:r>
      <w:r w:rsidRPr="009A7F1E">
        <w:rPr>
          <w:b/>
        </w:rPr>
        <w:t>ящем документе рекомендаций.</w:t>
      </w:r>
      <w:proofErr w:type="gramEnd"/>
      <w:r w:rsidRPr="009A7F1E">
        <w:rPr>
          <w:b/>
        </w:rPr>
        <w:t xml:space="preserve"> Комитет призывает государство-участник также привлечь неправительственные организации и других членов гра</w:t>
      </w:r>
      <w:r w:rsidRPr="009A7F1E">
        <w:rPr>
          <w:b/>
        </w:rPr>
        <w:t>ж</w:t>
      </w:r>
      <w:r w:rsidRPr="009A7F1E">
        <w:rPr>
          <w:b/>
        </w:rPr>
        <w:t>данского общества к процессам принятия последующих мер в соотве</w:t>
      </w:r>
      <w:r w:rsidRPr="009A7F1E">
        <w:rPr>
          <w:b/>
        </w:rPr>
        <w:t>т</w:t>
      </w:r>
      <w:r w:rsidRPr="009A7F1E">
        <w:rPr>
          <w:b/>
        </w:rPr>
        <w:t>ствии с настоящими заключительными замечаниями и консультаций на национальном уровне перед представлением его следующего периодич</w:t>
      </w:r>
      <w:r w:rsidRPr="009A7F1E">
        <w:rPr>
          <w:b/>
        </w:rPr>
        <w:t>е</w:t>
      </w:r>
      <w:r w:rsidRPr="009A7F1E">
        <w:rPr>
          <w:b/>
        </w:rPr>
        <w:t>ского доклада. Кроме того, Комитет просит государство-участник обесп</w:t>
      </w:r>
      <w:r w:rsidRPr="009A7F1E">
        <w:rPr>
          <w:b/>
        </w:rPr>
        <w:t>е</w:t>
      </w:r>
      <w:r w:rsidRPr="009A7F1E">
        <w:rPr>
          <w:b/>
        </w:rPr>
        <w:t>чить эффективную координацию со всеми автономными органами власти, особенно органами власти Северной Ирландии, и его заморскими террит</w:t>
      </w:r>
      <w:r w:rsidRPr="009A7F1E">
        <w:rPr>
          <w:b/>
        </w:rPr>
        <w:t>о</w:t>
      </w:r>
      <w:r w:rsidRPr="009A7F1E">
        <w:rPr>
          <w:b/>
        </w:rPr>
        <w:t>риями и подвластными Короне территориями на всех этапах осуществл</w:t>
      </w:r>
      <w:r w:rsidRPr="009A7F1E">
        <w:rPr>
          <w:b/>
        </w:rPr>
        <w:t>е</w:t>
      </w:r>
      <w:r w:rsidRPr="009A7F1E">
        <w:rPr>
          <w:b/>
        </w:rPr>
        <w:t>ния рекомендаций, содержащихся в настоящих заключительных замечан</w:t>
      </w:r>
      <w:r w:rsidRPr="009A7F1E">
        <w:rPr>
          <w:b/>
        </w:rPr>
        <w:t>и</w:t>
      </w:r>
      <w:r w:rsidRPr="009A7F1E">
        <w:rPr>
          <w:b/>
        </w:rPr>
        <w:t>ях, и при подготовке его следующего периодического доклада.</w:t>
      </w:r>
    </w:p>
    <w:p w:rsidR="0049372E" w:rsidRPr="009A7F1E" w:rsidRDefault="00B138BC" w:rsidP="00B138BC">
      <w:pPr>
        <w:pStyle w:val="SingleTxtGR"/>
        <w:rPr>
          <w:b/>
        </w:rPr>
      </w:pPr>
      <w:r w:rsidRPr="00B138BC">
        <w:t>73.</w:t>
      </w:r>
      <w:r w:rsidRPr="00B138BC">
        <w:tab/>
      </w:r>
      <w:r w:rsidRPr="009A7F1E">
        <w:rPr>
          <w:b/>
        </w:rPr>
        <w:t>Комитет просит государство-участник представить его седьмой пер</w:t>
      </w:r>
      <w:r w:rsidRPr="009A7F1E">
        <w:rPr>
          <w:b/>
        </w:rPr>
        <w:t>и</w:t>
      </w:r>
      <w:r w:rsidRPr="009A7F1E">
        <w:rPr>
          <w:b/>
        </w:rPr>
        <w:t>одический доклад, который должен быть подготовлен в соответствии с р</w:t>
      </w:r>
      <w:r w:rsidRPr="009A7F1E">
        <w:rPr>
          <w:b/>
        </w:rPr>
        <w:t>у</w:t>
      </w:r>
      <w:r w:rsidRPr="009A7F1E">
        <w:rPr>
          <w:b/>
        </w:rPr>
        <w:t>ководящими принципами составления докладов, принятыми Комитетом в 2008 году (E/C.12/2008/2), к 30 июня 2021 года. Кроме того, он предлагает государству-участнику при необходимости обновить его общий базовый д</w:t>
      </w:r>
      <w:r w:rsidRPr="009A7F1E">
        <w:rPr>
          <w:b/>
        </w:rPr>
        <w:t>о</w:t>
      </w:r>
      <w:r w:rsidRPr="009A7F1E">
        <w:rPr>
          <w:b/>
        </w:rPr>
        <w:t>кумент в соответствии с согласованными руководящими принципами представления докладов согласно международным договорам о правах ч</w:t>
      </w:r>
      <w:r w:rsidRPr="009A7F1E">
        <w:rPr>
          <w:b/>
        </w:rPr>
        <w:t>е</w:t>
      </w:r>
      <w:r w:rsidRPr="009A7F1E">
        <w:rPr>
          <w:b/>
        </w:rPr>
        <w:t>ловека (HRI/GEN/2/Rev.6, глава I).</w:t>
      </w:r>
    </w:p>
    <w:p w:rsidR="00760D3A" w:rsidRPr="009A7F1E" w:rsidRDefault="009A7F1E" w:rsidP="009A7F1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0D3A" w:rsidRPr="009A7F1E" w:rsidSect="0049372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10" w:rsidRDefault="007C5710" w:rsidP="00B471C5">
      <w:r>
        <w:separator/>
      </w:r>
    </w:p>
  </w:endnote>
  <w:endnote w:type="continuationSeparator" w:id="0">
    <w:p w:rsidR="007C5710" w:rsidRDefault="007C571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10" w:rsidRPr="00B969DC" w:rsidRDefault="007C5710">
    <w:pPr>
      <w:pStyle w:val="a7"/>
      <w:rPr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782489">
      <w:rPr>
        <w:rStyle w:val="a9"/>
        <w:noProof/>
      </w:rPr>
      <w:t>16</w:t>
    </w:r>
    <w:r>
      <w:rPr>
        <w:rStyle w:val="a9"/>
      </w:rPr>
      <w:fldChar w:fldCharType="end"/>
    </w:r>
    <w:r>
      <w:rPr>
        <w:lang w:val="en-US"/>
      </w:rPr>
      <w:tab/>
      <w:t>GE.16-</w:t>
    </w:r>
    <w:r>
      <w:rPr>
        <w:lang w:val="ru-RU"/>
      </w:rPr>
      <w:t>12075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10" w:rsidRPr="009A6F4A" w:rsidRDefault="007C5710">
    <w:pPr>
      <w:pStyle w:val="a7"/>
      <w:rPr>
        <w:lang w:val="en-US"/>
      </w:rPr>
    </w:pPr>
    <w:r>
      <w:rPr>
        <w:lang w:val="en-US"/>
      </w:rPr>
      <w:t>GE.16-</w:t>
    </w:r>
    <w:r>
      <w:rPr>
        <w:lang w:val="ru-RU"/>
      </w:rPr>
      <w:t>12075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782489">
      <w:rPr>
        <w:rStyle w:val="a9"/>
        <w:noProof/>
      </w:rPr>
      <w:t>15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7C5710" w:rsidRPr="00797A78" w:rsidTr="007C5710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C5710" w:rsidRPr="00B969DC" w:rsidRDefault="007C5710" w:rsidP="007C5710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>
            <w:t>12075</w:t>
          </w:r>
          <w:r w:rsidRPr="001C3ABC">
            <w:rPr>
              <w:lang w:val="en-US"/>
            </w:rPr>
            <w:t xml:space="preserve"> (R)</w:t>
          </w:r>
          <w:r>
            <w:t xml:space="preserve">   241016   251016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7C5710" w:rsidRDefault="007C5710" w:rsidP="007C5710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9AB9080" wp14:editId="35D33E9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7C5710" w:rsidRDefault="007C5710" w:rsidP="007C5710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1025" cy="581025"/>
                <wp:effectExtent l="0" t="0" r="9525" b="9525"/>
                <wp:docPr id="3" name="Рисунок 3" descr="http://undocs.org/m2/QRCode.ashx?DS=E/C.12/GBR/CO/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C.12/GBR/CO/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5710" w:rsidRPr="00797A78" w:rsidTr="007C5710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C5710" w:rsidRPr="00B969DC" w:rsidRDefault="007C5710" w:rsidP="007C571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969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969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969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969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969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969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969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B969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969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7C5710" w:rsidRDefault="007C5710" w:rsidP="007C5710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7C5710" w:rsidRDefault="007C5710" w:rsidP="007C5710"/>
      </w:tc>
    </w:tr>
  </w:tbl>
  <w:p w:rsidR="007C5710" w:rsidRPr="007A36B5" w:rsidRDefault="007C5710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10" w:rsidRPr="009141DC" w:rsidRDefault="007C571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C5710" w:rsidRPr="00D1261C" w:rsidRDefault="007C571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C5710" w:rsidRPr="00E47260" w:rsidRDefault="007C5710" w:rsidP="00B138BC">
      <w:pPr>
        <w:pStyle w:val="aa"/>
        <w:rPr>
          <w:color w:val="000000"/>
          <w:lang w:val="ru-RU"/>
        </w:rPr>
      </w:pPr>
      <w:r>
        <w:rPr>
          <w:lang w:val="ru-RU"/>
        </w:rPr>
        <w:tab/>
      </w:r>
      <w:r w:rsidRPr="00B969DC">
        <w:rPr>
          <w:sz w:val="20"/>
          <w:lang w:val="ru-RU"/>
        </w:rPr>
        <w:t>*</w:t>
      </w:r>
      <w:r>
        <w:rPr>
          <w:lang w:val="ru-RU"/>
        </w:rPr>
        <w:tab/>
        <w:t xml:space="preserve">Приняты Комитетом на </w:t>
      </w:r>
      <w:r w:rsidR="00552AE0">
        <w:rPr>
          <w:lang w:val="ru-RU"/>
        </w:rPr>
        <w:t>его пятьдесят восьмой сессии (6</w:t>
      </w:r>
      <w:r w:rsidR="00552AE0" w:rsidRPr="00552AE0">
        <w:rPr>
          <w:lang w:val="ru-RU"/>
        </w:rPr>
        <w:t>–</w:t>
      </w:r>
      <w:r>
        <w:rPr>
          <w:lang w:val="ru-RU"/>
        </w:rPr>
        <w:t>24 июня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10" w:rsidRPr="00E71A0F" w:rsidRDefault="007C5710">
    <w:pPr>
      <w:pStyle w:val="a3"/>
      <w:rPr>
        <w:lang w:val="en-US"/>
      </w:rPr>
    </w:pPr>
    <w:r>
      <w:rPr>
        <w:lang w:val="en-US"/>
      </w:rPr>
      <w:t>E/</w:t>
    </w:r>
    <w:r w:rsidRPr="00B969DC">
      <w:rPr>
        <w:lang w:val="en-US"/>
      </w:rPr>
      <w:t>C.12/GBR/CO/6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10" w:rsidRPr="009A6F4A" w:rsidRDefault="007C5710">
    <w:pPr>
      <w:pStyle w:val="a3"/>
      <w:rPr>
        <w:lang w:val="en-US"/>
      </w:rPr>
    </w:pPr>
    <w:r>
      <w:rPr>
        <w:lang w:val="en-US"/>
      </w:rPr>
      <w:tab/>
      <w:t>E/</w:t>
    </w:r>
    <w:r w:rsidRPr="00B969DC">
      <w:rPr>
        <w:lang w:val="en-US"/>
      </w:rPr>
      <w:t>C.12/GBR/CO/6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BC"/>
    <w:rsid w:val="000450D1"/>
    <w:rsid w:val="000F2A4F"/>
    <w:rsid w:val="00203C64"/>
    <w:rsid w:val="00203F84"/>
    <w:rsid w:val="00275188"/>
    <w:rsid w:val="0028392C"/>
    <w:rsid w:val="0028687D"/>
    <w:rsid w:val="002B091C"/>
    <w:rsid w:val="002D0CCB"/>
    <w:rsid w:val="00345C79"/>
    <w:rsid w:val="00366A39"/>
    <w:rsid w:val="00375A3E"/>
    <w:rsid w:val="0048005C"/>
    <w:rsid w:val="0049372E"/>
    <w:rsid w:val="004E242B"/>
    <w:rsid w:val="00523139"/>
    <w:rsid w:val="00544379"/>
    <w:rsid w:val="00552AE0"/>
    <w:rsid w:val="00566944"/>
    <w:rsid w:val="005D56BF"/>
    <w:rsid w:val="005D5CDB"/>
    <w:rsid w:val="0060520C"/>
    <w:rsid w:val="00665D8D"/>
    <w:rsid w:val="006A7A3B"/>
    <w:rsid w:val="006B6B57"/>
    <w:rsid w:val="00705394"/>
    <w:rsid w:val="00741FF6"/>
    <w:rsid w:val="00743F62"/>
    <w:rsid w:val="00760D3A"/>
    <w:rsid w:val="00782489"/>
    <w:rsid w:val="007A1F42"/>
    <w:rsid w:val="007C0869"/>
    <w:rsid w:val="007C5710"/>
    <w:rsid w:val="007D76DD"/>
    <w:rsid w:val="0082571F"/>
    <w:rsid w:val="008717E8"/>
    <w:rsid w:val="008D01AE"/>
    <w:rsid w:val="008D7240"/>
    <w:rsid w:val="008E0423"/>
    <w:rsid w:val="009141DC"/>
    <w:rsid w:val="009174A1"/>
    <w:rsid w:val="0098674D"/>
    <w:rsid w:val="00997ACA"/>
    <w:rsid w:val="009A7F1E"/>
    <w:rsid w:val="00A03FB7"/>
    <w:rsid w:val="00A75A11"/>
    <w:rsid w:val="00AA7298"/>
    <w:rsid w:val="00AD7EAD"/>
    <w:rsid w:val="00B138BC"/>
    <w:rsid w:val="00B35A32"/>
    <w:rsid w:val="00B432C6"/>
    <w:rsid w:val="00B471C5"/>
    <w:rsid w:val="00B63737"/>
    <w:rsid w:val="00B6474A"/>
    <w:rsid w:val="00B969DC"/>
    <w:rsid w:val="00BA4715"/>
    <w:rsid w:val="00BE1742"/>
    <w:rsid w:val="00D1261C"/>
    <w:rsid w:val="00D75DCE"/>
    <w:rsid w:val="00D841D3"/>
    <w:rsid w:val="00DD35AC"/>
    <w:rsid w:val="00DD479F"/>
    <w:rsid w:val="00DF7361"/>
    <w:rsid w:val="00E15E48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13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38BC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B138B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138BC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af3">
    <w:name w:val="annotation text"/>
    <w:basedOn w:val="a"/>
    <w:link w:val="af4"/>
    <w:uiPriority w:val="99"/>
    <w:semiHidden/>
    <w:unhideWhenUsed/>
    <w:rsid w:val="00B138BC"/>
    <w:pPr>
      <w:spacing w:line="240" w:lineRule="auto"/>
    </w:pPr>
  </w:style>
  <w:style w:type="character" w:customStyle="1" w:styleId="af4">
    <w:name w:val="Текст примечания Знак"/>
    <w:basedOn w:val="a0"/>
    <w:link w:val="af3"/>
    <w:uiPriority w:val="99"/>
    <w:semiHidden/>
    <w:rsid w:val="00B138BC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af5">
    <w:name w:val="annotation reference"/>
    <w:semiHidden/>
    <w:rsid w:val="00B138BC"/>
    <w:rPr>
      <w:sz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13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38BC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B138B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138BC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af3">
    <w:name w:val="annotation text"/>
    <w:basedOn w:val="a"/>
    <w:link w:val="af4"/>
    <w:uiPriority w:val="99"/>
    <w:semiHidden/>
    <w:unhideWhenUsed/>
    <w:rsid w:val="00B138BC"/>
    <w:pPr>
      <w:spacing w:line="240" w:lineRule="auto"/>
    </w:pPr>
  </w:style>
  <w:style w:type="character" w:customStyle="1" w:styleId="af4">
    <w:name w:val="Текст примечания Знак"/>
    <w:basedOn w:val="a0"/>
    <w:link w:val="af3"/>
    <w:uiPriority w:val="99"/>
    <w:semiHidden/>
    <w:rsid w:val="00B138BC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af5">
    <w:name w:val="annotation reference"/>
    <w:semiHidden/>
    <w:rsid w:val="00B138BC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31B1-D30F-495A-8DCE-587A1826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16</Pages>
  <Words>5311</Words>
  <Characters>37277</Characters>
  <Application>Microsoft Office Word</Application>
  <DocSecurity>0</DocSecurity>
  <Lines>707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Sharkina</cp:lastModifiedBy>
  <cp:revision>3</cp:revision>
  <cp:lastPrinted>2016-10-25T08:38:00Z</cp:lastPrinted>
  <dcterms:created xsi:type="dcterms:W3CDTF">2016-10-25T08:37:00Z</dcterms:created>
  <dcterms:modified xsi:type="dcterms:W3CDTF">2016-10-25T08:39:00Z</dcterms:modified>
</cp:coreProperties>
</file>