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530"/>
        <w:gridCol w:w="2835"/>
      </w:tblGrid>
      <w:tr w:rsidR="006B3E27" w:rsidRPr="00ED7442" w:rsidTr="00FC3308">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5530"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2835" w:type="dxa"/>
            <w:tcBorders>
              <w:bottom w:val="single" w:sz="4" w:space="0" w:color="auto"/>
            </w:tcBorders>
            <w:vAlign w:val="bottom"/>
          </w:tcPr>
          <w:p w:rsidR="006B3E27" w:rsidRPr="003E159A" w:rsidRDefault="00002403" w:rsidP="00FC3308">
            <w:pPr>
              <w:bidi w:val="0"/>
              <w:spacing w:after="20"/>
              <w:jc w:val="left"/>
              <w:rPr>
                <w:szCs w:val="20"/>
              </w:rPr>
            </w:pPr>
            <w:r w:rsidRPr="00002403">
              <w:rPr>
                <w:sz w:val="40"/>
                <w:szCs w:val="20"/>
              </w:rPr>
              <w:t>C</w:t>
            </w:r>
            <w:r w:rsidRPr="00FC3308">
              <w:rPr>
                <w:sz w:val="40"/>
                <w:szCs w:val="20"/>
              </w:rPr>
              <w:t>ERD</w:t>
            </w:r>
            <w:r>
              <w:rPr>
                <w:szCs w:val="20"/>
              </w:rPr>
              <w:t>/C/BGR/CO/20-22</w:t>
            </w:r>
          </w:p>
        </w:tc>
      </w:tr>
      <w:tr w:rsidR="006B3E27" w:rsidRPr="00ED7442" w:rsidTr="00FC3308">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2543B7D9" wp14:editId="31F0CC6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0" w:type="dxa"/>
            <w:tcBorders>
              <w:top w:val="single" w:sz="4" w:space="0" w:color="auto"/>
              <w:bottom w:val="single" w:sz="12" w:space="0" w:color="auto"/>
            </w:tcBorders>
          </w:tcPr>
          <w:p w:rsidR="00FC3308" w:rsidRPr="00FC3308" w:rsidRDefault="00791BBB" w:rsidP="00FC3308">
            <w:pPr>
              <w:spacing w:before="120" w:after="40" w:line="640" w:lineRule="exact"/>
              <w:jc w:val="left"/>
              <w:rPr>
                <w:b/>
                <w:bCs/>
                <w:sz w:val="60"/>
                <w:szCs w:val="60"/>
                <w:rtl/>
              </w:rPr>
            </w:pPr>
            <w:dir w:val="rtl">
              <w:r w:rsidR="00FC3308" w:rsidRPr="00FC3308">
                <w:rPr>
                  <w:b/>
                  <w:bCs/>
                  <w:sz w:val="60"/>
                  <w:szCs w:val="60"/>
                  <w:rtl/>
                </w:rPr>
                <w:t>الاتفاقيـة الدوليـة للقضــاء علـى جميع أشكال التمييز العنصري</w:t>
              </w:r>
              <w:r w:rsidR="00FC3308" w:rsidRPr="00FC3308">
                <w:rPr>
                  <w:b/>
                  <w:bCs/>
                  <w:sz w:val="60"/>
                  <w:szCs w:val="60"/>
                </w:rPr>
                <w:t>‬</w:t>
              </w:r>
              <w:r w:rsidR="00FC3308" w:rsidRPr="00FC3308">
                <w:rPr>
                  <w:b/>
                  <w:bCs/>
                  <w:sz w:val="60"/>
                  <w:szCs w:val="60"/>
                </w:rPr>
                <w:t>‬</w:t>
              </w:r>
              <w:r w:rsidR="00FC3308" w:rsidRPr="00FC3308">
                <w:rPr>
                  <w:b/>
                  <w:bCs/>
                  <w:sz w:val="60"/>
                  <w:szCs w:val="60"/>
                </w:rPr>
                <w:t>‬</w:t>
              </w:r>
              <w:r w:rsidR="00FC3308" w:rsidRPr="00FC3308">
                <w:rPr>
                  <w:b/>
                  <w:bCs/>
                  <w:sz w:val="60"/>
                  <w:szCs w:val="60"/>
                </w:rPr>
                <w:t>‬</w:t>
              </w:r>
              <w:r w:rsidR="006102AD">
                <w:t>‬</w:t>
              </w:r>
              <w:r>
                <w:t>‬</w:t>
              </w:r>
            </w:dir>
          </w:p>
          <w:p w:rsidR="006B3E27" w:rsidRPr="008930DB" w:rsidRDefault="006B3E27" w:rsidP="00BA5E8B">
            <w:pPr>
              <w:spacing w:before="120" w:after="40" w:line="640" w:lineRule="exact"/>
              <w:jc w:val="left"/>
              <w:rPr>
                <w:b/>
                <w:bCs/>
                <w:sz w:val="56"/>
                <w:szCs w:val="56"/>
              </w:rPr>
            </w:pPr>
          </w:p>
        </w:tc>
        <w:tc>
          <w:tcPr>
            <w:tcW w:w="2835" w:type="dxa"/>
            <w:tcBorders>
              <w:top w:val="single" w:sz="4" w:space="0" w:color="auto"/>
              <w:bottom w:val="single" w:sz="12" w:space="0" w:color="auto"/>
            </w:tcBorders>
          </w:tcPr>
          <w:p w:rsidR="00FC3308" w:rsidRPr="00FC3308" w:rsidRDefault="00FC3308" w:rsidP="00FC3308">
            <w:pPr>
              <w:bidi w:val="0"/>
              <w:spacing w:before="240" w:line="240" w:lineRule="exact"/>
              <w:rPr>
                <w:rFonts w:cs="Times New Roman"/>
                <w:szCs w:val="20"/>
              </w:rPr>
            </w:pPr>
            <w:r w:rsidRPr="00FC3308">
              <w:rPr>
                <w:rFonts w:cs="Times New Roman"/>
                <w:szCs w:val="20"/>
                <w:lang w:val="en-GB"/>
              </w:rPr>
              <w:t>Distr.: General</w:t>
            </w:r>
          </w:p>
          <w:p w:rsidR="00FC3308" w:rsidRPr="00FC3308" w:rsidRDefault="00FC3308" w:rsidP="00FC3308">
            <w:pPr>
              <w:bidi w:val="0"/>
              <w:jc w:val="left"/>
              <w:rPr>
                <w:rFonts w:cs="Times New Roman"/>
                <w:szCs w:val="20"/>
                <w:lang w:val="en-GB"/>
              </w:rPr>
            </w:pPr>
            <w:r w:rsidRPr="00FC3308">
              <w:rPr>
                <w:rFonts w:cs="Times New Roman"/>
                <w:szCs w:val="20"/>
                <w:lang w:val="en-GB"/>
              </w:rPr>
              <w:t>31 May 2017</w:t>
            </w:r>
          </w:p>
          <w:p w:rsidR="00FC3308" w:rsidRPr="00FC3308" w:rsidRDefault="00FC3308" w:rsidP="00FC3308">
            <w:pPr>
              <w:bidi w:val="0"/>
              <w:jc w:val="left"/>
              <w:rPr>
                <w:rFonts w:cs="Times New Roman"/>
                <w:szCs w:val="20"/>
                <w:lang w:val="en-GB"/>
              </w:rPr>
            </w:pPr>
            <w:r>
              <w:rPr>
                <w:rFonts w:cs="Times New Roman"/>
                <w:szCs w:val="20"/>
                <w:lang w:val="en-GB"/>
              </w:rPr>
              <w:t>Arabic</w:t>
            </w:r>
          </w:p>
          <w:p w:rsidR="00FC3308" w:rsidRPr="003E159A" w:rsidRDefault="00FC3308" w:rsidP="00FC3308">
            <w:pPr>
              <w:bidi w:val="0"/>
              <w:jc w:val="left"/>
              <w:rPr>
                <w:szCs w:val="20"/>
              </w:rPr>
            </w:pPr>
            <w:r w:rsidRPr="00FC3308">
              <w:rPr>
                <w:rFonts w:cs="Times New Roman"/>
                <w:szCs w:val="20"/>
                <w:lang w:val="en-GB"/>
              </w:rPr>
              <w:t>Original: English</w:t>
            </w:r>
          </w:p>
        </w:tc>
      </w:tr>
    </w:tbl>
    <w:p w:rsidR="00FC3308" w:rsidRPr="009D647D" w:rsidRDefault="00FC3308" w:rsidP="00FC3308">
      <w:pPr>
        <w:pStyle w:val="SingleTxtGA"/>
        <w:spacing w:before="120" w:after="0"/>
        <w:ind w:left="0" w:right="4252"/>
        <w:jc w:val="left"/>
        <w:rPr>
          <w:b/>
          <w:bCs/>
          <w:sz w:val="26"/>
          <w:szCs w:val="36"/>
          <w:rtl/>
        </w:rPr>
      </w:pPr>
      <w:r w:rsidRPr="009D647D">
        <w:rPr>
          <w:b/>
          <w:bCs/>
          <w:sz w:val="26"/>
          <w:szCs w:val="36"/>
          <w:rtl/>
        </w:rPr>
        <w:t>لجنة القضاء على التمييز العنصري</w:t>
      </w:r>
      <w:bookmarkStart w:id="0" w:name="_Toc483922852"/>
    </w:p>
    <w:p w:rsidR="00FC3308" w:rsidRDefault="00FC3308" w:rsidP="00FC3308">
      <w:pPr>
        <w:pStyle w:val="HChGA"/>
        <w:rPr>
          <w:rtl/>
        </w:rPr>
      </w:pPr>
      <w:r w:rsidRPr="009D647D">
        <w:rPr>
          <w:rFonts w:hint="cs"/>
          <w:rtl/>
        </w:rPr>
        <w:tab/>
      </w:r>
      <w:r w:rsidRPr="009D647D">
        <w:rPr>
          <w:rFonts w:hint="cs"/>
          <w:rtl/>
        </w:rPr>
        <w:tab/>
      </w:r>
      <w:r w:rsidRPr="009D647D">
        <w:rPr>
          <w:rtl/>
        </w:rPr>
        <w:t>الملاحظات الختامية بشأن التقرير الجامع للتقارير الدورية من العشرين إلى الثاني والعشرين لبلغاريا</w:t>
      </w:r>
      <w:r w:rsidRPr="009D647D">
        <w:rPr>
          <w:rStyle w:val="FootnoteReference"/>
          <w:sz w:val="20"/>
          <w:vertAlign w:val="baseline"/>
          <w:rtl/>
        </w:rPr>
        <w:footnoteReference w:customMarkFollows="1" w:id="1"/>
        <w:t>*</w:t>
      </w:r>
    </w:p>
    <w:bookmarkEnd w:id="0"/>
    <w:p w:rsidR="00FC3308" w:rsidRPr="009D647D" w:rsidRDefault="00FC3308" w:rsidP="00FC3308">
      <w:pPr>
        <w:pStyle w:val="SingleTxtGA"/>
        <w:rPr>
          <w:rtl/>
        </w:rPr>
      </w:pPr>
      <w:r w:rsidRPr="009D647D">
        <w:rPr>
          <w:rtl/>
        </w:rPr>
        <w:t>1-</w:t>
      </w:r>
      <w:r w:rsidRPr="009D647D">
        <w:rPr>
          <w:rtl/>
        </w:rPr>
        <w:tab/>
        <w:t>نظرت اللجنة في التقرير الجامع للتقارير الدورية من العشرين إلى الثاني والعشرين لبلغاريا</w:t>
      </w:r>
      <w:r>
        <w:rPr>
          <w:rFonts w:hint="cs"/>
          <w:rtl/>
        </w:rPr>
        <w:t> </w:t>
      </w:r>
      <w:r w:rsidRPr="009D647D">
        <w:rPr>
          <w:rtl/>
        </w:rPr>
        <w:t>(</w:t>
      </w:r>
      <w:r w:rsidRPr="009D647D">
        <w:t>CERD/C/BGR/20-22</w:t>
      </w:r>
      <w:r w:rsidRPr="009D647D">
        <w:rPr>
          <w:rtl/>
        </w:rPr>
        <w:t xml:space="preserve">)، المقدمة في وثيقة واحدة، في جلستيها 2534 و2535 (انظر </w:t>
      </w:r>
      <w:r w:rsidRPr="009D647D">
        <w:t>CERD/C/SR.2534</w:t>
      </w:r>
      <w:r w:rsidRPr="009D647D">
        <w:rPr>
          <w:rtl/>
        </w:rPr>
        <w:t xml:space="preserve"> و</w:t>
      </w:r>
      <w:r w:rsidRPr="009D647D">
        <w:t>CERD/C/SR.2535</w:t>
      </w:r>
      <w:r w:rsidRPr="009D647D">
        <w:rPr>
          <w:rtl/>
        </w:rPr>
        <w:t xml:space="preserve">)، المعقودتين في 4 و5 أيار/مايو 2017. واعتمدت اللجنة هذه الملاحظات الختامية في جلستيها </w:t>
      </w:r>
      <w:r w:rsidRPr="009D647D">
        <w:rPr>
          <w:rFonts w:hint="cs"/>
          <w:rtl/>
        </w:rPr>
        <w:t>2543</w:t>
      </w:r>
      <w:r w:rsidRPr="009D647D">
        <w:rPr>
          <w:rtl/>
        </w:rPr>
        <w:t xml:space="preserve"> و</w:t>
      </w:r>
      <w:r w:rsidRPr="009D647D">
        <w:rPr>
          <w:rFonts w:hint="cs"/>
          <w:rtl/>
        </w:rPr>
        <w:t>2544، المعقودتين في 11 أيار/مايو 2017</w:t>
      </w:r>
      <w:r w:rsidRPr="009D647D">
        <w:rPr>
          <w:rtl/>
        </w:rPr>
        <w:t>.</w:t>
      </w:r>
      <w:r w:rsidRPr="009D647D">
        <w:rPr>
          <w:rFonts w:hint="cs"/>
          <w:rtl/>
        </w:rPr>
        <w:t xml:space="preserve"> </w:t>
      </w:r>
      <w:bookmarkStart w:id="1" w:name="_Toc483922853"/>
    </w:p>
    <w:p w:rsidR="00FC3308" w:rsidRPr="009D647D" w:rsidRDefault="00FC3308" w:rsidP="00FC3308">
      <w:pPr>
        <w:pStyle w:val="H1GA"/>
        <w:rPr>
          <w:rtl/>
        </w:rPr>
      </w:pPr>
      <w:r w:rsidRPr="009D647D">
        <w:rPr>
          <w:rtl/>
        </w:rPr>
        <w:tab/>
        <w:t>ألف-</w:t>
      </w:r>
      <w:r w:rsidRPr="009D647D">
        <w:rPr>
          <w:rtl/>
        </w:rPr>
        <w:tab/>
        <w:t>مقدمة</w:t>
      </w:r>
      <w:bookmarkEnd w:id="1"/>
    </w:p>
    <w:p w:rsidR="00FC3308" w:rsidRPr="009D647D" w:rsidRDefault="00FC3308" w:rsidP="00FC3308">
      <w:pPr>
        <w:pStyle w:val="SingleTxtGA"/>
        <w:rPr>
          <w:rtl/>
        </w:rPr>
      </w:pPr>
      <w:r w:rsidRPr="009D647D">
        <w:rPr>
          <w:rtl/>
        </w:rPr>
        <w:t>2-</w:t>
      </w:r>
      <w:r w:rsidRPr="009D647D">
        <w:rPr>
          <w:rtl/>
        </w:rPr>
        <w:tab/>
        <w:t>ترحب اللجنة بتقديم الدولة الطرف ال</w:t>
      </w:r>
      <w:r w:rsidRPr="009D647D">
        <w:rPr>
          <w:rFonts w:hint="cs"/>
          <w:rtl/>
        </w:rPr>
        <w:t xml:space="preserve">تقرير </w:t>
      </w:r>
      <w:r w:rsidRPr="009D647D">
        <w:rPr>
          <w:rtl/>
        </w:rPr>
        <w:t>الجامع لتقاريرها الدورية من العشرين إلى الثاني والعشرين، ال</w:t>
      </w:r>
      <w:r w:rsidRPr="009D647D">
        <w:rPr>
          <w:rFonts w:hint="cs"/>
          <w:rtl/>
        </w:rPr>
        <w:t>ذ</w:t>
      </w:r>
      <w:r w:rsidRPr="009D647D">
        <w:rPr>
          <w:rtl/>
        </w:rPr>
        <w:t>ي تضمن</w:t>
      </w:r>
      <w:r>
        <w:rPr>
          <w:rtl/>
        </w:rPr>
        <w:t xml:space="preserve"> ردود</w:t>
      </w:r>
      <w:r w:rsidRPr="009D647D">
        <w:rPr>
          <w:rtl/>
        </w:rPr>
        <w:t>ا</w:t>
      </w:r>
      <w:r>
        <w:rPr>
          <w:rtl/>
        </w:rPr>
        <w:t>ً</w:t>
      </w:r>
      <w:r w:rsidRPr="009D647D">
        <w:rPr>
          <w:rtl/>
        </w:rPr>
        <w:t xml:space="preserve"> على الشواغل التي أثارتها اللجنة في ملاحظاتها الختامية السابقة. وتود اللجنة أن تشيد بالحوار المفتوح مع وفد الدولة الطرف المتعدد القطاعات. وتلاحظ اللجنة المعلومات الإضافية المقدمة </w:t>
      </w:r>
      <w:r w:rsidRPr="009D647D">
        <w:rPr>
          <w:rFonts w:hint="cs"/>
          <w:rtl/>
        </w:rPr>
        <w:t>كتابيا</w:t>
      </w:r>
      <w:r>
        <w:rPr>
          <w:rFonts w:hint="cs"/>
          <w:rtl/>
        </w:rPr>
        <w:t>ً</w:t>
      </w:r>
      <w:r w:rsidRPr="009D647D">
        <w:rPr>
          <w:rtl/>
        </w:rPr>
        <w:t xml:space="preserve"> بعد الحوار.</w:t>
      </w:r>
      <w:bookmarkStart w:id="2" w:name="_Toc483922854"/>
    </w:p>
    <w:p w:rsidR="00FC3308" w:rsidRPr="009D647D" w:rsidRDefault="00FC3308" w:rsidP="00FC3308">
      <w:pPr>
        <w:pStyle w:val="H1GA"/>
        <w:rPr>
          <w:rtl/>
        </w:rPr>
      </w:pPr>
      <w:r w:rsidRPr="009D647D">
        <w:rPr>
          <w:rtl/>
        </w:rPr>
        <w:tab/>
        <w:t>باء-</w:t>
      </w:r>
      <w:r w:rsidRPr="009D647D">
        <w:rPr>
          <w:rtl/>
        </w:rPr>
        <w:tab/>
        <w:t>الجوانب الإيجابية</w:t>
      </w:r>
      <w:bookmarkEnd w:id="2"/>
    </w:p>
    <w:p w:rsidR="00FC3308" w:rsidRPr="009D647D" w:rsidRDefault="00FC3308" w:rsidP="00FC3308">
      <w:pPr>
        <w:pStyle w:val="SingleTxtGA"/>
        <w:rPr>
          <w:rtl/>
        </w:rPr>
      </w:pPr>
      <w:r w:rsidRPr="009D647D">
        <w:rPr>
          <w:rtl/>
        </w:rPr>
        <w:t>3-</w:t>
      </w:r>
      <w:r w:rsidRPr="009D647D">
        <w:rPr>
          <w:rtl/>
        </w:rPr>
        <w:tab/>
        <w:t>ترحب اللجنة باعتماد الدولة الطرف التدابير التشريعية والمؤسس</w:t>
      </w:r>
      <w:r w:rsidRPr="009D647D">
        <w:rPr>
          <w:rFonts w:hint="cs"/>
          <w:rtl/>
        </w:rPr>
        <w:t>ات</w:t>
      </w:r>
      <w:r w:rsidRPr="009D647D">
        <w:rPr>
          <w:rtl/>
        </w:rPr>
        <w:t>ية والسياساتية التالية:</w:t>
      </w:r>
    </w:p>
    <w:p w:rsidR="00FC3308" w:rsidRPr="009D647D" w:rsidRDefault="00FC3308" w:rsidP="00FC3308">
      <w:pPr>
        <w:pStyle w:val="SingleTxtGA"/>
        <w:rPr>
          <w:rFonts w:eastAsiaTheme="minorEastAsia"/>
          <w:rtl/>
          <w:lang w:eastAsia="zh-CN"/>
        </w:rPr>
      </w:pPr>
      <w:r w:rsidRPr="009D647D">
        <w:rPr>
          <w:rtl/>
        </w:rPr>
        <w:tab/>
        <w:t>(</w:t>
      </w:r>
      <w:r w:rsidRPr="009D647D">
        <w:rPr>
          <w:rFonts w:hint="cs"/>
          <w:rtl/>
        </w:rPr>
        <w:t>أ</w:t>
      </w:r>
      <w:r w:rsidRPr="009D647D">
        <w:rPr>
          <w:rtl/>
        </w:rPr>
        <w:t>)</w:t>
      </w:r>
      <w:r w:rsidRPr="009D647D">
        <w:rPr>
          <w:rtl/>
        </w:rPr>
        <w:tab/>
      </w:r>
      <w:r w:rsidRPr="009D647D">
        <w:rPr>
          <w:rFonts w:hint="cs"/>
          <w:rtl/>
        </w:rPr>
        <w:t>التوجيه</w:t>
      </w:r>
      <w:r w:rsidRPr="009D647D">
        <w:rPr>
          <w:rtl/>
        </w:rPr>
        <w:t xml:space="preserve"> </w:t>
      </w:r>
      <w:r w:rsidRPr="009D647D">
        <w:rPr>
          <w:rFonts w:hint="cs"/>
          <w:rtl/>
        </w:rPr>
        <w:t>رقم</w:t>
      </w:r>
      <w:r w:rsidRPr="009D647D">
        <w:rPr>
          <w:rtl/>
        </w:rPr>
        <w:t xml:space="preserve"> </w:t>
      </w:r>
      <w:r w:rsidRPr="009D647D">
        <w:t>2013/33/EU</w:t>
      </w:r>
      <w:r w:rsidRPr="009D647D">
        <w:rPr>
          <w:rFonts w:hint="cs"/>
          <w:rtl/>
        </w:rPr>
        <w:t xml:space="preserve"> الصادر</w:t>
      </w:r>
      <w:r w:rsidRPr="009D647D">
        <w:rPr>
          <w:rtl/>
        </w:rPr>
        <w:t xml:space="preserve"> </w:t>
      </w:r>
      <w:r w:rsidRPr="009D647D">
        <w:rPr>
          <w:rFonts w:hint="cs"/>
          <w:rtl/>
        </w:rPr>
        <w:t>عن</w:t>
      </w:r>
      <w:r w:rsidRPr="009D647D">
        <w:rPr>
          <w:rtl/>
        </w:rPr>
        <w:t xml:space="preserve"> </w:t>
      </w:r>
      <w:r w:rsidRPr="009D647D">
        <w:rPr>
          <w:rFonts w:hint="cs"/>
          <w:rtl/>
        </w:rPr>
        <w:t>البرلمان</w:t>
      </w:r>
      <w:r w:rsidRPr="009D647D">
        <w:rPr>
          <w:rtl/>
        </w:rPr>
        <w:t xml:space="preserve"> </w:t>
      </w:r>
      <w:r w:rsidRPr="009D647D">
        <w:rPr>
          <w:rFonts w:hint="cs"/>
          <w:rtl/>
        </w:rPr>
        <w:t>الأوروبي</w:t>
      </w:r>
      <w:r w:rsidRPr="009D647D">
        <w:rPr>
          <w:rtl/>
        </w:rPr>
        <w:t xml:space="preserve"> </w:t>
      </w:r>
      <w:r w:rsidRPr="009D647D">
        <w:rPr>
          <w:rFonts w:hint="cs"/>
          <w:rtl/>
        </w:rPr>
        <w:t>والمجلس</w:t>
      </w:r>
      <w:r w:rsidRPr="009D647D">
        <w:rPr>
          <w:rtl/>
        </w:rPr>
        <w:t xml:space="preserve"> </w:t>
      </w:r>
      <w:r w:rsidRPr="009D647D">
        <w:rPr>
          <w:rFonts w:hint="cs"/>
          <w:rtl/>
        </w:rPr>
        <w:t>المؤرخ</w:t>
      </w:r>
      <w:r w:rsidRPr="009D647D">
        <w:rPr>
          <w:rtl/>
        </w:rPr>
        <w:t xml:space="preserve"> </w:t>
      </w:r>
      <w:r w:rsidRPr="009D647D">
        <w:rPr>
          <w:rFonts w:hint="cs"/>
          <w:rtl/>
        </w:rPr>
        <w:t>26</w:t>
      </w:r>
      <w:r w:rsidRPr="009D647D">
        <w:rPr>
          <w:rtl/>
        </w:rPr>
        <w:t xml:space="preserve"> </w:t>
      </w:r>
      <w:r w:rsidRPr="009D647D">
        <w:rPr>
          <w:rFonts w:hint="cs"/>
          <w:rtl/>
        </w:rPr>
        <w:t>ح</w:t>
      </w:r>
      <w:r w:rsidRPr="009D647D">
        <w:rPr>
          <w:rtl/>
        </w:rPr>
        <w:t>زيران/يونيه 2013 الذي يضع معايير استقبال طالبي الحماية الدولية، والتوجيه</w:t>
      </w:r>
      <w:r w:rsidR="00EA42BA">
        <w:rPr>
          <w:rFonts w:hint="cs"/>
          <w:rtl/>
        </w:rPr>
        <w:t xml:space="preserve"> رقم</w:t>
      </w:r>
      <w:r w:rsidRPr="009D647D">
        <w:rPr>
          <w:rtl/>
        </w:rPr>
        <w:t xml:space="preserve"> </w:t>
      </w:r>
      <w:r w:rsidRPr="009D647D">
        <w:t>2013/32/EU</w:t>
      </w:r>
      <w:r w:rsidRPr="009D647D">
        <w:rPr>
          <w:rtl/>
        </w:rPr>
        <w:t xml:space="preserve"> الصادر عن البرلمان الأوروبي والمجلس المؤرخ 26 حزيران/يونيه 2013 بشأن الإجراءات المشتركة لمنح الحماية الدولية وسحبها </w:t>
      </w:r>
      <w:r w:rsidRPr="009D647D">
        <w:rPr>
          <w:rFonts w:hint="cs"/>
          <w:rtl/>
        </w:rPr>
        <w:t>ل</w:t>
      </w:r>
      <w:r w:rsidRPr="009D647D">
        <w:rPr>
          <w:rtl/>
        </w:rPr>
        <w:t>عام 2015</w:t>
      </w:r>
      <w:r w:rsidRPr="009D647D">
        <w:rPr>
          <w:rFonts w:hint="cs"/>
          <w:rtl/>
        </w:rPr>
        <w:t>،</w:t>
      </w:r>
      <w:r w:rsidRPr="009D647D">
        <w:rPr>
          <w:rtl/>
        </w:rPr>
        <w:t xml:space="preserve"> الذي أفضى إلى تقليص مدة الاحتجاز الإداري للأشخاص الذين يطلبون اللجوء؛</w:t>
      </w:r>
    </w:p>
    <w:p w:rsidR="00FC3308" w:rsidRPr="009D647D" w:rsidRDefault="00FC3308" w:rsidP="00FC3308">
      <w:pPr>
        <w:pStyle w:val="SingleTxtGA"/>
        <w:rPr>
          <w:rtl/>
        </w:rPr>
      </w:pPr>
      <w:r w:rsidRPr="009D647D">
        <w:rPr>
          <w:rtl/>
        </w:rPr>
        <w:tab/>
        <w:t>(</w:t>
      </w:r>
      <w:r w:rsidRPr="009D647D">
        <w:rPr>
          <w:rFonts w:hint="cs"/>
          <w:rtl/>
        </w:rPr>
        <w:t>ب</w:t>
      </w:r>
      <w:r w:rsidRPr="009D647D">
        <w:rPr>
          <w:rtl/>
        </w:rPr>
        <w:t>)</w:t>
      </w:r>
      <w:r w:rsidRPr="009D647D">
        <w:rPr>
          <w:rtl/>
        </w:rPr>
        <w:tab/>
      </w:r>
      <w:r w:rsidRPr="009D647D">
        <w:rPr>
          <w:rFonts w:hint="cs"/>
          <w:rtl/>
        </w:rPr>
        <w:t>التعديلات</w:t>
      </w:r>
      <w:r w:rsidRPr="009D647D">
        <w:rPr>
          <w:rtl/>
        </w:rPr>
        <w:t xml:space="preserve"> </w:t>
      </w:r>
      <w:r w:rsidRPr="009D647D">
        <w:rPr>
          <w:rFonts w:hint="cs"/>
          <w:rtl/>
        </w:rPr>
        <w:t>التي</w:t>
      </w:r>
      <w:r w:rsidRPr="009D647D">
        <w:rPr>
          <w:rtl/>
        </w:rPr>
        <w:t xml:space="preserve"> </w:t>
      </w:r>
      <w:r w:rsidRPr="009D647D">
        <w:rPr>
          <w:rFonts w:hint="cs"/>
          <w:rtl/>
        </w:rPr>
        <w:t>أُدخلت</w:t>
      </w:r>
      <w:r w:rsidRPr="009D647D">
        <w:rPr>
          <w:rtl/>
        </w:rPr>
        <w:t xml:space="preserve"> </w:t>
      </w:r>
      <w:r w:rsidRPr="009D647D">
        <w:rPr>
          <w:rFonts w:hint="cs"/>
          <w:rtl/>
        </w:rPr>
        <w:t>في</w:t>
      </w:r>
      <w:r w:rsidRPr="009D647D">
        <w:rPr>
          <w:rtl/>
        </w:rPr>
        <w:t xml:space="preserve"> </w:t>
      </w:r>
      <w:r w:rsidRPr="009D647D">
        <w:rPr>
          <w:rFonts w:hint="cs"/>
          <w:rtl/>
        </w:rPr>
        <w:t>تشرين</w:t>
      </w:r>
      <w:r w:rsidRPr="009D647D">
        <w:rPr>
          <w:rtl/>
        </w:rPr>
        <w:t xml:space="preserve"> </w:t>
      </w:r>
      <w:r w:rsidRPr="009D647D">
        <w:rPr>
          <w:rFonts w:hint="cs"/>
          <w:rtl/>
        </w:rPr>
        <w:t>الأول</w:t>
      </w:r>
      <w:r w:rsidRPr="009D647D">
        <w:rPr>
          <w:rtl/>
        </w:rPr>
        <w:t>/</w:t>
      </w:r>
      <w:r w:rsidRPr="009D647D">
        <w:rPr>
          <w:rFonts w:hint="cs"/>
          <w:rtl/>
        </w:rPr>
        <w:t>أكتوبر</w:t>
      </w:r>
      <w:r w:rsidRPr="009D647D">
        <w:rPr>
          <w:rtl/>
        </w:rPr>
        <w:t xml:space="preserve"> </w:t>
      </w:r>
      <w:r w:rsidRPr="009D647D">
        <w:rPr>
          <w:rFonts w:hint="cs"/>
          <w:rtl/>
        </w:rPr>
        <w:t>2015</w:t>
      </w:r>
      <w:r w:rsidRPr="009D647D">
        <w:rPr>
          <w:rtl/>
        </w:rPr>
        <w:t xml:space="preserve"> </w:t>
      </w:r>
      <w:r w:rsidRPr="009D647D">
        <w:rPr>
          <w:rFonts w:hint="cs"/>
          <w:rtl/>
        </w:rPr>
        <w:t>على</w:t>
      </w:r>
      <w:r w:rsidRPr="009D647D">
        <w:rPr>
          <w:rtl/>
        </w:rPr>
        <w:t xml:space="preserve"> </w:t>
      </w:r>
      <w:r w:rsidRPr="009D647D">
        <w:rPr>
          <w:rFonts w:hint="cs"/>
          <w:rtl/>
        </w:rPr>
        <w:t>قانون</w:t>
      </w:r>
      <w:r w:rsidRPr="009D647D">
        <w:rPr>
          <w:rtl/>
        </w:rPr>
        <w:t xml:space="preserve"> </w:t>
      </w:r>
      <w:r w:rsidRPr="009D647D">
        <w:rPr>
          <w:rFonts w:hint="cs"/>
          <w:rtl/>
        </w:rPr>
        <w:t>اللجوء</w:t>
      </w:r>
      <w:r w:rsidRPr="009D647D">
        <w:rPr>
          <w:rtl/>
        </w:rPr>
        <w:t xml:space="preserve"> </w:t>
      </w:r>
      <w:r w:rsidRPr="009D647D">
        <w:rPr>
          <w:rFonts w:hint="cs"/>
          <w:rtl/>
        </w:rPr>
        <w:t>واللاجئين</w:t>
      </w:r>
      <w:r w:rsidRPr="009D647D">
        <w:rPr>
          <w:rtl/>
        </w:rPr>
        <w:t xml:space="preserve"> </w:t>
      </w:r>
      <w:r w:rsidRPr="009D647D">
        <w:rPr>
          <w:rFonts w:hint="cs"/>
          <w:rtl/>
        </w:rPr>
        <w:t>من</w:t>
      </w:r>
      <w:r w:rsidRPr="009D647D">
        <w:rPr>
          <w:rtl/>
        </w:rPr>
        <w:t xml:space="preserve"> </w:t>
      </w:r>
      <w:r w:rsidRPr="009D647D">
        <w:rPr>
          <w:rFonts w:hint="cs"/>
          <w:rtl/>
        </w:rPr>
        <w:t>أجل</w:t>
      </w:r>
      <w:r w:rsidRPr="009D647D">
        <w:rPr>
          <w:rtl/>
        </w:rPr>
        <w:t xml:space="preserve"> </w:t>
      </w:r>
      <w:r w:rsidRPr="009D647D">
        <w:rPr>
          <w:rFonts w:hint="cs"/>
          <w:rtl/>
        </w:rPr>
        <w:t>توسيع</w:t>
      </w:r>
      <w:r w:rsidRPr="009D647D">
        <w:rPr>
          <w:rtl/>
        </w:rPr>
        <w:t xml:space="preserve"> </w:t>
      </w:r>
      <w:r w:rsidRPr="009D647D">
        <w:rPr>
          <w:rFonts w:hint="cs"/>
          <w:rtl/>
        </w:rPr>
        <w:t>نظام</w:t>
      </w:r>
      <w:r w:rsidRPr="009D647D">
        <w:rPr>
          <w:rtl/>
        </w:rPr>
        <w:t xml:space="preserve"> </w:t>
      </w:r>
      <w:r w:rsidRPr="009D647D">
        <w:rPr>
          <w:rFonts w:hint="cs"/>
          <w:rtl/>
        </w:rPr>
        <w:t>الوصاية</w:t>
      </w:r>
      <w:r w:rsidRPr="009D647D">
        <w:rPr>
          <w:rtl/>
        </w:rPr>
        <w:t xml:space="preserve"> </w:t>
      </w:r>
      <w:r w:rsidRPr="009D647D">
        <w:rPr>
          <w:rFonts w:hint="cs"/>
          <w:rtl/>
        </w:rPr>
        <w:t>على</w:t>
      </w:r>
      <w:r w:rsidRPr="009D647D">
        <w:rPr>
          <w:rtl/>
        </w:rPr>
        <w:t xml:space="preserve"> </w:t>
      </w:r>
      <w:r w:rsidRPr="009D647D">
        <w:rPr>
          <w:rFonts w:hint="cs"/>
          <w:rtl/>
        </w:rPr>
        <w:t>الأطفال</w:t>
      </w:r>
      <w:r w:rsidRPr="009D647D">
        <w:rPr>
          <w:rtl/>
        </w:rPr>
        <w:t xml:space="preserve"> </w:t>
      </w:r>
      <w:r w:rsidRPr="009D647D">
        <w:rPr>
          <w:rFonts w:hint="cs"/>
          <w:rtl/>
        </w:rPr>
        <w:t>وسريانه على</w:t>
      </w:r>
      <w:r w:rsidRPr="009D647D">
        <w:rPr>
          <w:rtl/>
        </w:rPr>
        <w:t xml:space="preserve"> </w:t>
      </w:r>
      <w:r w:rsidRPr="009D647D">
        <w:rPr>
          <w:rFonts w:hint="cs"/>
          <w:rtl/>
        </w:rPr>
        <w:t>الأطفال</w:t>
      </w:r>
      <w:r w:rsidRPr="009D647D">
        <w:rPr>
          <w:rtl/>
        </w:rPr>
        <w:t xml:space="preserve"> </w:t>
      </w:r>
      <w:r w:rsidRPr="009D647D">
        <w:rPr>
          <w:rFonts w:hint="cs"/>
          <w:rtl/>
        </w:rPr>
        <w:t>المهاجرين</w:t>
      </w:r>
      <w:r w:rsidRPr="009D647D">
        <w:rPr>
          <w:rtl/>
        </w:rPr>
        <w:t xml:space="preserve"> </w:t>
      </w:r>
      <w:r w:rsidRPr="009D647D">
        <w:rPr>
          <w:rFonts w:hint="cs"/>
          <w:rtl/>
        </w:rPr>
        <w:t>أيضا</w:t>
      </w:r>
      <w:r>
        <w:rPr>
          <w:rFonts w:hint="cs"/>
          <w:rtl/>
        </w:rPr>
        <w:t>ً</w:t>
      </w:r>
      <w:r w:rsidRPr="009D647D">
        <w:rPr>
          <w:rFonts w:hint="cs"/>
          <w:rtl/>
        </w:rPr>
        <w:t>؛</w:t>
      </w:r>
    </w:p>
    <w:p w:rsidR="00FC3308" w:rsidRPr="009D647D" w:rsidRDefault="00FC3308" w:rsidP="00FC3308">
      <w:pPr>
        <w:pStyle w:val="SingleTxtGA"/>
        <w:rPr>
          <w:rtl/>
        </w:rPr>
      </w:pPr>
      <w:r w:rsidRPr="009D647D">
        <w:rPr>
          <w:rtl/>
        </w:rPr>
        <w:lastRenderedPageBreak/>
        <w:tab/>
        <w:t>(</w:t>
      </w:r>
      <w:r w:rsidRPr="009D647D">
        <w:rPr>
          <w:rFonts w:hint="cs"/>
          <w:rtl/>
        </w:rPr>
        <w:t>ج</w:t>
      </w:r>
      <w:r w:rsidRPr="009D647D">
        <w:rPr>
          <w:rtl/>
        </w:rPr>
        <w:t>)</w:t>
      </w:r>
      <w:r w:rsidRPr="009D647D">
        <w:rPr>
          <w:rtl/>
        </w:rPr>
        <w:tab/>
      </w:r>
      <w:r w:rsidRPr="009D647D">
        <w:rPr>
          <w:rFonts w:hint="cs"/>
          <w:rtl/>
        </w:rPr>
        <w:t>التعديلات</w:t>
      </w:r>
      <w:r w:rsidRPr="009D647D">
        <w:rPr>
          <w:rtl/>
        </w:rPr>
        <w:t xml:space="preserve"> </w:t>
      </w:r>
      <w:r w:rsidRPr="009D647D">
        <w:rPr>
          <w:rFonts w:hint="cs"/>
          <w:rtl/>
        </w:rPr>
        <w:t>التي</w:t>
      </w:r>
      <w:r w:rsidRPr="009D647D">
        <w:rPr>
          <w:rtl/>
        </w:rPr>
        <w:t xml:space="preserve"> </w:t>
      </w:r>
      <w:r w:rsidRPr="009D647D">
        <w:rPr>
          <w:rFonts w:hint="cs"/>
          <w:rtl/>
        </w:rPr>
        <w:t>أُدخلت</w:t>
      </w:r>
      <w:r w:rsidRPr="009D647D">
        <w:rPr>
          <w:rtl/>
        </w:rPr>
        <w:t xml:space="preserve"> </w:t>
      </w:r>
      <w:r w:rsidRPr="009D647D">
        <w:rPr>
          <w:rFonts w:hint="cs"/>
          <w:rtl/>
        </w:rPr>
        <w:t>في</w:t>
      </w:r>
      <w:r w:rsidRPr="009D647D">
        <w:rPr>
          <w:rtl/>
        </w:rPr>
        <w:t xml:space="preserve"> </w:t>
      </w:r>
      <w:r w:rsidRPr="009D647D">
        <w:rPr>
          <w:rFonts w:hint="cs"/>
          <w:rtl/>
        </w:rPr>
        <w:t>عام</w:t>
      </w:r>
      <w:r w:rsidRPr="009D647D">
        <w:rPr>
          <w:rtl/>
        </w:rPr>
        <w:t xml:space="preserve"> 2013 </w:t>
      </w:r>
      <w:r w:rsidRPr="009D647D">
        <w:rPr>
          <w:rFonts w:hint="cs"/>
          <w:rtl/>
        </w:rPr>
        <w:t>على</w:t>
      </w:r>
      <w:r w:rsidRPr="009D647D">
        <w:rPr>
          <w:rtl/>
        </w:rPr>
        <w:t xml:space="preserve"> </w:t>
      </w:r>
      <w:r w:rsidRPr="009D647D">
        <w:rPr>
          <w:rFonts w:hint="cs"/>
          <w:rtl/>
        </w:rPr>
        <w:t>قانون</w:t>
      </w:r>
      <w:r w:rsidRPr="009D647D">
        <w:rPr>
          <w:rtl/>
        </w:rPr>
        <w:t xml:space="preserve"> </w:t>
      </w:r>
      <w:r w:rsidRPr="009D647D">
        <w:rPr>
          <w:rFonts w:hint="cs"/>
          <w:rtl/>
        </w:rPr>
        <w:t>المعونة</w:t>
      </w:r>
      <w:r w:rsidRPr="009D647D">
        <w:rPr>
          <w:rtl/>
        </w:rPr>
        <w:t xml:space="preserve"> </w:t>
      </w:r>
      <w:r w:rsidRPr="009D647D">
        <w:rPr>
          <w:rFonts w:hint="cs"/>
          <w:rtl/>
        </w:rPr>
        <w:t>القضائية</w:t>
      </w:r>
      <w:r w:rsidRPr="009D647D">
        <w:rPr>
          <w:rtl/>
        </w:rPr>
        <w:t xml:space="preserve"> </w:t>
      </w:r>
      <w:r w:rsidRPr="009D647D">
        <w:rPr>
          <w:rFonts w:hint="cs"/>
          <w:rtl/>
        </w:rPr>
        <w:t xml:space="preserve">الذي يسهم </w:t>
      </w:r>
      <w:r w:rsidRPr="009D647D">
        <w:rPr>
          <w:rtl/>
        </w:rPr>
        <w:t>في تحسين وصول الفئات والأفراد المحروم</w:t>
      </w:r>
      <w:r w:rsidRPr="009D647D">
        <w:rPr>
          <w:rFonts w:hint="cs"/>
          <w:rtl/>
        </w:rPr>
        <w:t>ين</w:t>
      </w:r>
      <w:r w:rsidRPr="009D647D">
        <w:rPr>
          <w:rtl/>
        </w:rPr>
        <w:t xml:space="preserve"> إلى العدالة؛</w:t>
      </w:r>
    </w:p>
    <w:p w:rsidR="00FC3308" w:rsidRPr="009D647D" w:rsidRDefault="00FC3308" w:rsidP="00FC3308">
      <w:pPr>
        <w:pStyle w:val="SingleTxtGA"/>
        <w:rPr>
          <w:rtl/>
        </w:rPr>
      </w:pPr>
      <w:r w:rsidRPr="009D647D">
        <w:rPr>
          <w:rtl/>
        </w:rPr>
        <w:tab/>
        <w:t>(د)</w:t>
      </w:r>
      <w:r w:rsidRPr="009D647D">
        <w:rPr>
          <w:rtl/>
        </w:rPr>
        <w:tab/>
        <w:t>التعديلات التي أ</w:t>
      </w:r>
      <w:r w:rsidRPr="009D647D">
        <w:rPr>
          <w:rFonts w:hint="cs"/>
          <w:rtl/>
        </w:rPr>
        <w:t>ُ</w:t>
      </w:r>
      <w:r w:rsidRPr="009D647D">
        <w:rPr>
          <w:rtl/>
        </w:rPr>
        <w:t xml:space="preserve">دخلت </w:t>
      </w:r>
      <w:r w:rsidRPr="009D647D">
        <w:rPr>
          <w:rFonts w:hint="cs"/>
          <w:rtl/>
        </w:rPr>
        <w:t xml:space="preserve">في </w:t>
      </w:r>
      <w:r w:rsidRPr="009D647D">
        <w:rPr>
          <w:rtl/>
        </w:rPr>
        <w:t>عام 2013</w:t>
      </w:r>
      <w:r w:rsidRPr="009D647D">
        <w:rPr>
          <w:rFonts w:hint="cs"/>
          <w:rtl/>
        </w:rPr>
        <w:t xml:space="preserve"> </w:t>
      </w:r>
      <w:r w:rsidRPr="009D647D">
        <w:rPr>
          <w:rtl/>
        </w:rPr>
        <w:t>على قانون الأجانب في جمهورية بلغاريا لحظر احتجاز الأطفال غير المصحوبين بذويهم</w:t>
      </w:r>
      <w:r w:rsidRPr="009D647D">
        <w:rPr>
          <w:rFonts w:hint="cs"/>
          <w:rtl/>
        </w:rPr>
        <w:t>؛</w:t>
      </w:r>
    </w:p>
    <w:p w:rsidR="00FC3308" w:rsidRPr="009D647D" w:rsidRDefault="00FC3308" w:rsidP="00FC3308">
      <w:pPr>
        <w:pStyle w:val="SingleTxtGA"/>
        <w:rPr>
          <w:rtl/>
        </w:rPr>
      </w:pPr>
      <w:r>
        <w:rPr>
          <w:rFonts w:hint="cs"/>
          <w:rtl/>
        </w:rPr>
        <w:tab/>
      </w:r>
      <w:r w:rsidRPr="009D647D">
        <w:rPr>
          <w:rtl/>
        </w:rPr>
        <w:t>(ه)</w:t>
      </w:r>
      <w:r>
        <w:rPr>
          <w:rFonts w:hint="cs"/>
          <w:rtl/>
        </w:rPr>
        <w:tab/>
      </w:r>
      <w:r w:rsidRPr="009D647D">
        <w:rPr>
          <w:rtl/>
        </w:rPr>
        <w:t>استراتيجية الإدماج التعليمي للأطفال والطلاب من الأقليات ال</w:t>
      </w:r>
      <w:r w:rsidRPr="009D647D">
        <w:rPr>
          <w:rFonts w:hint="cs"/>
          <w:rtl/>
        </w:rPr>
        <w:t>إثنية</w:t>
      </w:r>
      <w:r w:rsidRPr="009D647D">
        <w:rPr>
          <w:rtl/>
        </w:rPr>
        <w:t xml:space="preserve"> (2015-2020)، وخطة عملها؛</w:t>
      </w:r>
    </w:p>
    <w:p w:rsidR="00FC3308" w:rsidRPr="009D647D" w:rsidRDefault="00FC3308" w:rsidP="00FC3308">
      <w:pPr>
        <w:pStyle w:val="SingleTxtGA"/>
        <w:rPr>
          <w:rtl/>
        </w:rPr>
      </w:pPr>
      <w:r w:rsidRPr="009D647D">
        <w:rPr>
          <w:rtl/>
        </w:rPr>
        <w:tab/>
        <w:t>(و)</w:t>
      </w:r>
      <w:r w:rsidRPr="009D647D">
        <w:rPr>
          <w:rtl/>
        </w:rPr>
        <w:tab/>
        <w:t>الاستراتيجية الوطنية المتعلقة بالهجرة واللجوء وال</w:t>
      </w:r>
      <w:r w:rsidRPr="009D647D">
        <w:rPr>
          <w:rFonts w:hint="cs"/>
          <w:rtl/>
        </w:rPr>
        <w:t>ان</w:t>
      </w:r>
      <w:r w:rsidRPr="009D647D">
        <w:rPr>
          <w:rtl/>
        </w:rPr>
        <w:t>دماج (2015-2020)؛</w:t>
      </w:r>
    </w:p>
    <w:p w:rsidR="00FC3308" w:rsidRPr="009D647D" w:rsidRDefault="00FC3308" w:rsidP="00FC3308">
      <w:pPr>
        <w:pStyle w:val="SingleTxtGA"/>
        <w:rPr>
          <w:rtl/>
        </w:rPr>
      </w:pPr>
      <w:r w:rsidRPr="009D647D">
        <w:rPr>
          <w:rtl/>
        </w:rPr>
        <w:tab/>
        <w:t>(ز)</w:t>
      </w:r>
      <w:r w:rsidRPr="009D647D">
        <w:rPr>
          <w:rtl/>
        </w:rPr>
        <w:tab/>
        <w:t>الاستراتيجية الوطنية لإدماج الروما (2012-2020) وخطط عملها؛</w:t>
      </w:r>
    </w:p>
    <w:p w:rsidR="00FC3308" w:rsidRPr="009D647D" w:rsidRDefault="00FC3308" w:rsidP="00FC3308">
      <w:pPr>
        <w:pStyle w:val="SingleTxtGA"/>
        <w:rPr>
          <w:rtl/>
        </w:rPr>
      </w:pPr>
      <w:r w:rsidRPr="009D647D">
        <w:rPr>
          <w:rtl/>
        </w:rPr>
        <w:tab/>
        <w:t>(ح)</w:t>
      </w:r>
      <w:r w:rsidRPr="009D647D">
        <w:rPr>
          <w:rtl/>
        </w:rPr>
        <w:tab/>
        <w:t>الاستراتيجية الصحية للأشخاص</w:t>
      </w:r>
      <w:r w:rsidRPr="009D647D">
        <w:rPr>
          <w:rFonts w:hint="cs"/>
          <w:rtl/>
        </w:rPr>
        <w:t xml:space="preserve"> المحرومين</w:t>
      </w:r>
      <w:r w:rsidRPr="009D647D">
        <w:rPr>
          <w:rtl/>
        </w:rPr>
        <w:t xml:space="preserve"> المنتمين إلى الأقليات </w:t>
      </w:r>
      <w:r w:rsidR="00E35164">
        <w:rPr>
          <w:rFonts w:hint="cs"/>
          <w:rtl/>
        </w:rPr>
        <w:t xml:space="preserve">          </w:t>
      </w:r>
      <w:r w:rsidRPr="009D647D">
        <w:rPr>
          <w:rtl/>
        </w:rPr>
        <w:t>الإثنية (2005-2015).</w:t>
      </w:r>
    </w:p>
    <w:p w:rsidR="00FC3308" w:rsidRDefault="00FC3308" w:rsidP="00FC3308">
      <w:pPr>
        <w:pStyle w:val="SingleTxtGA"/>
        <w:rPr>
          <w:rtl/>
        </w:rPr>
      </w:pPr>
      <w:r w:rsidRPr="009D647D">
        <w:rPr>
          <w:rtl/>
        </w:rPr>
        <w:t>4-</w:t>
      </w:r>
      <w:r w:rsidRPr="009D647D">
        <w:rPr>
          <w:rtl/>
        </w:rPr>
        <w:tab/>
        <w:t>وترحب اللجنة أيضاً بتصديق الدولة الطرف على الصكوك الدولية التالية لحقوق الإنسان:</w:t>
      </w:r>
    </w:p>
    <w:p w:rsidR="00FC3308" w:rsidRPr="009D647D" w:rsidRDefault="00FC3308" w:rsidP="00FC3308">
      <w:pPr>
        <w:pStyle w:val="SingleTxtGA"/>
        <w:rPr>
          <w:rtl/>
        </w:rPr>
      </w:pPr>
      <w:r>
        <w:rPr>
          <w:rFonts w:hint="cs"/>
          <w:rtl/>
        </w:rPr>
        <w:tab/>
      </w:r>
      <w:r w:rsidRPr="009D647D">
        <w:rPr>
          <w:rtl/>
        </w:rPr>
        <w:t>(أ)</w:t>
      </w:r>
      <w:r>
        <w:rPr>
          <w:rFonts w:hint="cs"/>
          <w:rtl/>
        </w:rPr>
        <w:tab/>
      </w:r>
      <w:r w:rsidRPr="009D647D">
        <w:rPr>
          <w:rtl/>
        </w:rPr>
        <w:t>اتفاقية حقوق الأشخاص ذوي الإعاقة</w:t>
      </w:r>
      <w:r w:rsidRPr="009D647D">
        <w:rPr>
          <w:rFonts w:hint="cs"/>
          <w:rtl/>
        </w:rPr>
        <w:t>،</w:t>
      </w:r>
      <w:r w:rsidRPr="009D647D">
        <w:rPr>
          <w:rtl/>
        </w:rPr>
        <w:t xml:space="preserve"> في عام 2012؛</w:t>
      </w:r>
    </w:p>
    <w:p w:rsidR="00FC3308" w:rsidRPr="009D647D" w:rsidRDefault="00FC3308" w:rsidP="00FC3308">
      <w:pPr>
        <w:pStyle w:val="SingleTxtGA"/>
        <w:rPr>
          <w:rtl/>
        </w:rPr>
      </w:pPr>
      <w:r w:rsidRPr="009D647D">
        <w:rPr>
          <w:rtl/>
        </w:rPr>
        <w:tab/>
        <w:t>(ب)</w:t>
      </w:r>
      <w:r w:rsidRPr="009D647D">
        <w:rPr>
          <w:rtl/>
        </w:rPr>
        <w:tab/>
        <w:t>البروتوكول الاختياري لاتفاقية مناهضة التعذيب وغيره من ضروب المعاملة أو</w:t>
      </w:r>
      <w:r>
        <w:rPr>
          <w:rFonts w:hint="cs"/>
          <w:rtl/>
        </w:rPr>
        <w:t> </w:t>
      </w:r>
      <w:r w:rsidRPr="009D647D">
        <w:rPr>
          <w:rtl/>
        </w:rPr>
        <w:t>العقوبة القاسية أو اللاإنسانية أو المهينة</w:t>
      </w:r>
      <w:r w:rsidRPr="009D647D">
        <w:rPr>
          <w:rFonts w:hint="cs"/>
          <w:rtl/>
        </w:rPr>
        <w:t>،</w:t>
      </w:r>
      <w:r w:rsidRPr="009D647D">
        <w:rPr>
          <w:rtl/>
        </w:rPr>
        <w:t xml:space="preserve"> في عام 201</w:t>
      </w:r>
      <w:r w:rsidRPr="009D647D">
        <w:rPr>
          <w:rFonts w:hint="cs"/>
          <w:rtl/>
        </w:rPr>
        <w:t xml:space="preserve">1. </w:t>
      </w:r>
      <w:bookmarkStart w:id="3" w:name="_Toc483922855"/>
    </w:p>
    <w:p w:rsidR="00FC3308" w:rsidRPr="009D647D" w:rsidRDefault="00FC3308" w:rsidP="00FC3308">
      <w:pPr>
        <w:pStyle w:val="H1GA"/>
        <w:rPr>
          <w:rtl/>
        </w:rPr>
      </w:pPr>
      <w:r w:rsidRPr="009D647D">
        <w:rPr>
          <w:rtl/>
        </w:rPr>
        <w:tab/>
        <w:t>جيم-</w:t>
      </w:r>
      <w:r w:rsidRPr="009D647D">
        <w:rPr>
          <w:rtl/>
        </w:rPr>
        <w:tab/>
        <w:t>دواعي القلق والتوصيات</w:t>
      </w:r>
      <w:bookmarkStart w:id="4" w:name="_Toc483922856"/>
      <w:bookmarkEnd w:id="3"/>
    </w:p>
    <w:p w:rsidR="00FC3308" w:rsidRPr="009D647D" w:rsidRDefault="00FC3308" w:rsidP="00FC3308">
      <w:pPr>
        <w:pStyle w:val="H23GA"/>
        <w:rPr>
          <w:rtl/>
        </w:rPr>
      </w:pPr>
      <w:r w:rsidRPr="009D647D">
        <w:rPr>
          <w:rFonts w:hint="cs"/>
          <w:rtl/>
        </w:rPr>
        <w:tab/>
      </w:r>
      <w:r w:rsidRPr="009D647D">
        <w:rPr>
          <w:rFonts w:hint="cs"/>
          <w:rtl/>
        </w:rPr>
        <w:tab/>
      </w:r>
      <w:r w:rsidRPr="009D647D">
        <w:rPr>
          <w:rtl/>
        </w:rPr>
        <w:t>التعريف بالاتفاقية</w:t>
      </w:r>
      <w:bookmarkEnd w:id="4"/>
    </w:p>
    <w:p w:rsidR="00FC3308" w:rsidRPr="009D647D" w:rsidRDefault="00FC3308" w:rsidP="00FC3308">
      <w:pPr>
        <w:pStyle w:val="SingleTxtGA"/>
        <w:rPr>
          <w:rtl/>
        </w:rPr>
      </w:pPr>
      <w:r w:rsidRPr="009D647D">
        <w:rPr>
          <w:rtl/>
        </w:rPr>
        <w:t>5-</w:t>
      </w:r>
      <w:r w:rsidRPr="009D647D">
        <w:rPr>
          <w:rtl/>
        </w:rPr>
        <w:tab/>
        <w:t xml:space="preserve">تضع اللجنة في اعتبارها إمكانية تطبيق الاتفاقية تطبيقاً مباشراً في النظام القانوني للدولة الطرف، إلاّ أنها تعرب عن أسفها لعدم توافر معلومات عن القضايا التي اعتُد فيها بأحكام الاتفاقية أمام المحاكم المحلية أو طَبقت فيها </w:t>
      </w:r>
      <w:r w:rsidRPr="009D647D">
        <w:rPr>
          <w:rFonts w:hint="cs"/>
          <w:rtl/>
        </w:rPr>
        <w:t>هذه</w:t>
      </w:r>
      <w:r w:rsidRPr="009D647D">
        <w:rPr>
          <w:rtl/>
        </w:rPr>
        <w:t xml:space="preserve"> المحاكم أحكام الاتفاقية (المادة 2).</w:t>
      </w:r>
    </w:p>
    <w:p w:rsidR="00FC3308" w:rsidRPr="009D647D" w:rsidRDefault="00FC3308" w:rsidP="00EA42BA">
      <w:pPr>
        <w:pStyle w:val="SingleTxtGA"/>
        <w:rPr>
          <w:b/>
          <w:bCs/>
          <w:rtl/>
        </w:rPr>
      </w:pPr>
      <w:r w:rsidRPr="009D647D">
        <w:rPr>
          <w:rtl/>
        </w:rPr>
        <w:t>6-</w:t>
      </w:r>
      <w:r w:rsidRPr="009D647D">
        <w:rPr>
          <w:rtl/>
        </w:rPr>
        <w:tab/>
      </w:r>
      <w:r w:rsidRPr="009D647D">
        <w:rPr>
          <w:b/>
          <w:bCs/>
          <w:rtl/>
        </w:rPr>
        <w:t>توصي اللجنة بأن تتخذ الدولة الطرف جميع التدابير ال</w:t>
      </w:r>
      <w:r w:rsidRPr="009D647D">
        <w:rPr>
          <w:rFonts w:hint="cs"/>
          <w:b/>
          <w:bCs/>
          <w:rtl/>
        </w:rPr>
        <w:t>ملائمة</w:t>
      </w:r>
      <w:r w:rsidRPr="009D647D">
        <w:rPr>
          <w:b/>
          <w:bCs/>
          <w:rtl/>
        </w:rPr>
        <w:t xml:space="preserve">، بما في ذلك عن طريق التدريب، لضمان اطلاع القضاة والمدّعين العامين والمحامين على أحكام الاتفاقية </w:t>
      </w:r>
      <w:r w:rsidRPr="009D647D">
        <w:rPr>
          <w:rFonts w:hint="cs"/>
          <w:b/>
          <w:bCs/>
          <w:rtl/>
        </w:rPr>
        <w:t xml:space="preserve">بما يكفي لتمكينهم </w:t>
      </w:r>
      <w:r w:rsidRPr="009D647D">
        <w:rPr>
          <w:b/>
          <w:bCs/>
          <w:rtl/>
        </w:rPr>
        <w:t>من تطبيقها على القضايا ذات الصلة. وت</w:t>
      </w:r>
      <w:r w:rsidRPr="009D647D">
        <w:rPr>
          <w:rFonts w:hint="cs"/>
          <w:b/>
          <w:bCs/>
          <w:rtl/>
        </w:rPr>
        <w:t>طلب</w:t>
      </w:r>
      <w:r w:rsidRPr="009D647D">
        <w:rPr>
          <w:b/>
          <w:bCs/>
          <w:rtl/>
        </w:rPr>
        <w:t xml:space="preserve"> اللجنة </w:t>
      </w:r>
      <w:r w:rsidR="00EA42BA" w:rsidRPr="009D647D">
        <w:rPr>
          <w:rFonts w:hint="cs"/>
          <w:b/>
          <w:bCs/>
          <w:rtl/>
        </w:rPr>
        <w:t xml:space="preserve">إلى </w:t>
      </w:r>
      <w:r w:rsidRPr="009D647D">
        <w:rPr>
          <w:b/>
          <w:bCs/>
          <w:rtl/>
        </w:rPr>
        <w:t xml:space="preserve">الدولة الطرف أن تدرج ضمن تقريرها الدوري المقبل </w:t>
      </w:r>
      <w:r w:rsidRPr="009D647D">
        <w:rPr>
          <w:rFonts w:hint="cs"/>
          <w:b/>
          <w:bCs/>
          <w:rtl/>
        </w:rPr>
        <w:t xml:space="preserve">أمثلة محددة </w:t>
      </w:r>
      <w:r w:rsidRPr="009D647D">
        <w:rPr>
          <w:b/>
          <w:bCs/>
          <w:rtl/>
        </w:rPr>
        <w:t>عن تطبيق الاتفاقية في المحاكم المحلية.</w:t>
      </w:r>
      <w:bookmarkStart w:id="5" w:name="_Toc483922857"/>
    </w:p>
    <w:p w:rsidR="00FC3308" w:rsidRPr="009D647D" w:rsidRDefault="00FC3308" w:rsidP="00FC3308">
      <w:pPr>
        <w:pStyle w:val="H23GA"/>
        <w:rPr>
          <w:rtl/>
        </w:rPr>
      </w:pPr>
      <w:r>
        <w:rPr>
          <w:rFonts w:hint="cs"/>
          <w:rtl/>
        </w:rPr>
        <w:tab/>
      </w:r>
      <w:r>
        <w:rPr>
          <w:rFonts w:hint="cs"/>
          <w:rtl/>
        </w:rPr>
        <w:tab/>
      </w:r>
      <w:r w:rsidRPr="009D647D">
        <w:rPr>
          <w:rtl/>
        </w:rPr>
        <w:t>البيانات المصنَّفة</w:t>
      </w:r>
      <w:bookmarkEnd w:id="5"/>
    </w:p>
    <w:p w:rsidR="00FC3308" w:rsidRPr="009D647D" w:rsidRDefault="00FC3308" w:rsidP="00FC3308">
      <w:pPr>
        <w:pStyle w:val="SingleTxtGA"/>
        <w:rPr>
          <w:rtl/>
        </w:rPr>
      </w:pPr>
      <w:r w:rsidRPr="009D647D">
        <w:rPr>
          <w:rtl/>
        </w:rPr>
        <w:t>7-</w:t>
      </w:r>
      <w:r w:rsidRPr="009D647D">
        <w:rPr>
          <w:rtl/>
        </w:rPr>
        <w:tab/>
        <w:t>تأسف اللجنة لعدم توافر بيانات إحصائية محدثة ومصنفة بشأن تمتع أفراد الأقليات الإثنية وغير المواطنين فعليا</w:t>
      </w:r>
      <w:r>
        <w:rPr>
          <w:rtl/>
        </w:rPr>
        <w:t>ً</w:t>
      </w:r>
      <w:r w:rsidRPr="009D647D">
        <w:rPr>
          <w:rtl/>
        </w:rPr>
        <w:t xml:space="preserve"> بحقوقهم المحمية بموجب الاتفاقية، </w:t>
      </w:r>
      <w:r w:rsidRPr="009D647D">
        <w:rPr>
          <w:rFonts w:hint="cs"/>
          <w:rtl/>
        </w:rPr>
        <w:t>و</w:t>
      </w:r>
      <w:r w:rsidRPr="009D647D">
        <w:rPr>
          <w:rtl/>
        </w:rPr>
        <w:t xml:space="preserve">التي يصعب </w:t>
      </w:r>
      <w:r w:rsidRPr="009D647D">
        <w:rPr>
          <w:rFonts w:hint="cs"/>
          <w:rtl/>
        </w:rPr>
        <w:t xml:space="preserve">من </w:t>
      </w:r>
      <w:r w:rsidRPr="009D647D">
        <w:rPr>
          <w:rtl/>
        </w:rPr>
        <w:t>دونها تقييم الوضع الاجتماعي والاقتصادي لمختلف المجموعات في الدولة الطرف. وتشعر اللجنة بالقلق أيضا</w:t>
      </w:r>
      <w:r>
        <w:rPr>
          <w:rtl/>
        </w:rPr>
        <w:t>ً</w:t>
      </w:r>
      <w:r w:rsidRPr="009D647D">
        <w:rPr>
          <w:rtl/>
        </w:rPr>
        <w:t xml:space="preserve"> إزاء عدم وجود بيانات عن التركيبة الإثنية لنزلاء السجون (المادة 2).</w:t>
      </w:r>
    </w:p>
    <w:p w:rsidR="00FC3308" w:rsidRPr="009D647D" w:rsidRDefault="00FC3308" w:rsidP="00FC3308">
      <w:pPr>
        <w:pStyle w:val="SingleTxtGA"/>
        <w:rPr>
          <w:b/>
          <w:bCs/>
          <w:rtl/>
        </w:rPr>
      </w:pPr>
      <w:r w:rsidRPr="009D647D">
        <w:rPr>
          <w:rtl/>
        </w:rPr>
        <w:lastRenderedPageBreak/>
        <w:t>8-</w:t>
      </w:r>
      <w:r w:rsidRPr="009D647D">
        <w:rPr>
          <w:rtl/>
        </w:rPr>
        <w:tab/>
      </w:r>
      <w:r w:rsidRPr="009D647D">
        <w:rPr>
          <w:rFonts w:hint="cs"/>
          <w:b/>
          <w:bCs/>
          <w:rtl/>
        </w:rPr>
        <w:t xml:space="preserve">إن </w:t>
      </w:r>
      <w:r w:rsidRPr="009D647D">
        <w:rPr>
          <w:b/>
          <w:bCs/>
          <w:rtl/>
        </w:rPr>
        <w:t xml:space="preserve">اللجنة </w:t>
      </w:r>
      <w:r w:rsidRPr="009D647D">
        <w:rPr>
          <w:rFonts w:hint="cs"/>
          <w:b/>
          <w:bCs/>
          <w:rtl/>
        </w:rPr>
        <w:t xml:space="preserve">إذ توجه </w:t>
      </w:r>
      <w:r w:rsidRPr="009D647D">
        <w:rPr>
          <w:b/>
          <w:bCs/>
          <w:rtl/>
        </w:rPr>
        <w:t>عناية الدولة الطرف إلى المبادئ التوجيهية المنقَّحة بشأن إعداد التقارير بموجب الاتفاقية (</w:t>
      </w:r>
      <w:r w:rsidRPr="009D647D">
        <w:rPr>
          <w:rFonts w:hint="cs"/>
          <w:b/>
          <w:bCs/>
          <w:rtl/>
        </w:rPr>
        <w:t>انظر</w:t>
      </w:r>
      <w:r w:rsidRPr="009D647D">
        <w:rPr>
          <w:b/>
          <w:bCs/>
          <w:rtl/>
        </w:rPr>
        <w:t xml:space="preserve"> </w:t>
      </w:r>
      <w:r w:rsidRPr="009D647D">
        <w:rPr>
          <w:b/>
          <w:bCs/>
        </w:rPr>
        <w:t>CERD/C/2007/1</w:t>
      </w:r>
      <w:r w:rsidRPr="009D647D">
        <w:rPr>
          <w:b/>
          <w:bCs/>
          <w:rtl/>
        </w:rPr>
        <w:t>، الفقرات من 10 إلى 12) و</w:t>
      </w:r>
      <w:r w:rsidRPr="009D647D">
        <w:rPr>
          <w:rFonts w:hint="cs"/>
          <w:b/>
          <w:bCs/>
          <w:rtl/>
        </w:rPr>
        <w:t xml:space="preserve">إذ </w:t>
      </w:r>
      <w:r w:rsidRPr="009D647D">
        <w:rPr>
          <w:b/>
          <w:bCs/>
          <w:rtl/>
        </w:rPr>
        <w:t>تشير إلى توصيتها العامة رقم 24(1999) بشأن المادة 1 من الاتفاقية، توصي الدولة الطرف بجمع ونشر بيانات إحصائية موثوق بها عن الحالة الاجتماعية والاقتصادية لكل فئة من الفئات الإثنية، على أن تكون هذه البيانات مصنَّفة بحسب المناطق التي تعيش فيها الأقليات بأعداد كبيرة</w:t>
      </w:r>
      <w:r w:rsidRPr="009D647D">
        <w:rPr>
          <w:rFonts w:hint="cs"/>
          <w:b/>
          <w:bCs/>
          <w:rtl/>
        </w:rPr>
        <w:t>، وذلك</w:t>
      </w:r>
      <w:r w:rsidRPr="009D647D">
        <w:rPr>
          <w:b/>
          <w:bCs/>
          <w:rtl/>
        </w:rPr>
        <w:t xml:space="preserve"> بغية إتاحة أساس عملي متين تستند إليه السياسات الرامية إلى تعزيز التمتع بالحقوق على قَدَم المساواة بموجب الاتفاقية. وتوصي اللجنة الدولة الطرف</w:t>
      </w:r>
      <w:r w:rsidRPr="009D647D">
        <w:rPr>
          <w:rFonts w:hint="cs"/>
          <w:b/>
          <w:bCs/>
          <w:rtl/>
        </w:rPr>
        <w:t xml:space="preserve"> أيضا</w:t>
      </w:r>
      <w:r>
        <w:rPr>
          <w:rFonts w:hint="cs"/>
          <w:b/>
          <w:bCs/>
          <w:rtl/>
        </w:rPr>
        <w:t>ً</w:t>
      </w:r>
      <w:r w:rsidRPr="009D647D">
        <w:rPr>
          <w:b/>
          <w:bCs/>
          <w:rtl/>
        </w:rPr>
        <w:t xml:space="preserve"> بجمع بيانات عن التركيبة ال</w:t>
      </w:r>
      <w:r w:rsidRPr="009D647D">
        <w:rPr>
          <w:rFonts w:hint="cs"/>
          <w:b/>
          <w:bCs/>
          <w:rtl/>
        </w:rPr>
        <w:t>إثنية</w:t>
      </w:r>
      <w:r w:rsidRPr="009D647D">
        <w:rPr>
          <w:b/>
          <w:bCs/>
          <w:rtl/>
        </w:rPr>
        <w:t xml:space="preserve"> لنزلاء السجون. وتطلب اللجنة إلى الدولة الطرف أن توافيها بهذه المعلومات في تقريرها الدوري المقبل.</w:t>
      </w:r>
      <w:bookmarkStart w:id="6" w:name="_Toc483922858"/>
    </w:p>
    <w:p w:rsidR="00FC3308" w:rsidRPr="009D647D" w:rsidRDefault="00FC3308" w:rsidP="00FC3308">
      <w:pPr>
        <w:pStyle w:val="H23GA"/>
        <w:rPr>
          <w:rtl/>
        </w:rPr>
      </w:pPr>
      <w:r w:rsidRPr="009D647D">
        <w:rPr>
          <w:rFonts w:hint="cs"/>
          <w:rtl/>
        </w:rPr>
        <w:tab/>
      </w:r>
      <w:r w:rsidRPr="009D647D">
        <w:rPr>
          <w:rFonts w:hint="cs"/>
          <w:rtl/>
        </w:rPr>
        <w:tab/>
      </w:r>
      <w:r w:rsidRPr="009D647D">
        <w:rPr>
          <w:rtl/>
        </w:rPr>
        <w:t>هيئات المساواة</w:t>
      </w:r>
      <w:bookmarkEnd w:id="6"/>
    </w:p>
    <w:p w:rsidR="00FC3308" w:rsidRPr="009D647D" w:rsidRDefault="00FC3308" w:rsidP="00FC3308">
      <w:pPr>
        <w:pStyle w:val="SingleTxtGA"/>
        <w:rPr>
          <w:rtl/>
        </w:rPr>
      </w:pPr>
      <w:r w:rsidRPr="009D647D">
        <w:rPr>
          <w:rtl/>
        </w:rPr>
        <w:t>9-</w:t>
      </w:r>
      <w:r w:rsidRPr="009D647D">
        <w:rPr>
          <w:rtl/>
        </w:rPr>
        <w:tab/>
        <w:t>تحيط اللجنة علما</w:t>
      </w:r>
      <w:r>
        <w:rPr>
          <w:rtl/>
        </w:rPr>
        <w:t>ً</w:t>
      </w:r>
      <w:r w:rsidRPr="009D647D">
        <w:rPr>
          <w:rtl/>
        </w:rPr>
        <w:t xml:space="preserve"> بالمعلومات المقدمة أثناء الحوار بشأن التدابير المتخذة، بما في ذلك تدابير التوعية، بغية تعزيز قدرات لجنة الحماية من التمييز، فضلا</w:t>
      </w:r>
      <w:r>
        <w:rPr>
          <w:rtl/>
        </w:rPr>
        <w:t>ً</w:t>
      </w:r>
      <w:r w:rsidRPr="009D647D">
        <w:rPr>
          <w:rtl/>
        </w:rPr>
        <w:t xml:space="preserve"> عن جعل أمين المظالم يمتثل للمبادئ المتعلقة بمركز المؤسسات الوطنية لتعزيز وحماية حقوق الإنسان (مبادئ باريس).</w:t>
      </w:r>
      <w:r w:rsidRPr="009D647D">
        <w:rPr>
          <w:rFonts w:hint="cs"/>
          <w:rtl/>
        </w:rPr>
        <w:t xml:space="preserve"> </w:t>
      </w:r>
      <w:r w:rsidRPr="009D647D">
        <w:rPr>
          <w:rtl/>
        </w:rPr>
        <w:t>غير أن اللجنة لا تزال تشعر بالقلق إزاء استمرار أوجه القصور في عمل هذه الهيئات، على الرغم من توصياتها السابقة</w:t>
      </w:r>
      <w:r w:rsidRPr="009D647D">
        <w:rPr>
          <w:rFonts w:hint="cs"/>
          <w:rtl/>
        </w:rPr>
        <w:t>،</w:t>
      </w:r>
      <w:r w:rsidRPr="009D647D">
        <w:rPr>
          <w:rtl/>
        </w:rPr>
        <w:t xml:space="preserve"> ويرجع هذا الأمر جزئيا</w:t>
      </w:r>
      <w:r>
        <w:rPr>
          <w:rtl/>
        </w:rPr>
        <w:t>ً</w:t>
      </w:r>
      <w:r w:rsidRPr="009D647D">
        <w:rPr>
          <w:rtl/>
        </w:rPr>
        <w:t xml:space="preserve"> إلى محدودية استقلالية اللجنة، وعدم كفاية الموارد المالية والبشرية المتاحة لأمين المظالم. ويساور اللجنة القلق كذلك إزاء انخفاض عدد الشكاوى المتصلة بالتمييز على أساس العرق أو الانتماء الإثني المقدم</w:t>
      </w:r>
      <w:r w:rsidRPr="009D647D">
        <w:rPr>
          <w:rFonts w:hint="cs"/>
          <w:rtl/>
        </w:rPr>
        <w:t>ة</w:t>
      </w:r>
      <w:r w:rsidRPr="009D647D">
        <w:rPr>
          <w:rtl/>
        </w:rPr>
        <w:t xml:space="preserve"> إلى اللجنة (المادة 2).</w:t>
      </w:r>
    </w:p>
    <w:p w:rsidR="00FC3308" w:rsidRPr="009D647D" w:rsidRDefault="00FC3308" w:rsidP="00FC3308">
      <w:pPr>
        <w:pStyle w:val="SingleTxtGA"/>
        <w:rPr>
          <w:b/>
          <w:bCs/>
          <w:rtl/>
        </w:rPr>
      </w:pPr>
      <w:r w:rsidRPr="009D647D">
        <w:rPr>
          <w:rtl/>
        </w:rPr>
        <w:t>10-</w:t>
      </w:r>
      <w:r w:rsidRPr="009D647D">
        <w:rPr>
          <w:rtl/>
        </w:rPr>
        <w:tab/>
      </w:r>
      <w:r w:rsidRPr="009D647D">
        <w:rPr>
          <w:b/>
          <w:bCs/>
          <w:rtl/>
        </w:rPr>
        <w:t>توصي اللجنة بأن تعمل الدولة الطرف بما يلي:</w:t>
      </w:r>
    </w:p>
    <w:p w:rsidR="00FC3308" w:rsidRPr="00F3470C" w:rsidRDefault="00FC3308" w:rsidP="00FC3308">
      <w:pPr>
        <w:pStyle w:val="SingleTxtGA"/>
        <w:rPr>
          <w:b/>
          <w:bCs/>
          <w:spacing w:val="-2"/>
          <w:rtl/>
        </w:rPr>
      </w:pPr>
      <w:r w:rsidRPr="00F3470C">
        <w:rPr>
          <w:spacing w:val="-2"/>
          <w:rtl/>
        </w:rPr>
        <w:tab/>
        <w:t>(أ)</w:t>
      </w:r>
      <w:r w:rsidRPr="00F3470C">
        <w:rPr>
          <w:spacing w:val="-2"/>
          <w:rtl/>
        </w:rPr>
        <w:tab/>
      </w:r>
      <w:r w:rsidRPr="00F3470C">
        <w:rPr>
          <w:rFonts w:hint="cs"/>
          <w:b/>
          <w:bCs/>
          <w:spacing w:val="-2"/>
          <w:rtl/>
        </w:rPr>
        <w:t xml:space="preserve">أن </w:t>
      </w:r>
      <w:r w:rsidRPr="00F3470C">
        <w:rPr>
          <w:b/>
          <w:bCs/>
          <w:spacing w:val="-2"/>
          <w:rtl/>
        </w:rPr>
        <w:t>تتخذ تدابير فورية لتعزيز قدرات لجنة الحماية من التمييز وأمين المظالم واستقلال</w:t>
      </w:r>
      <w:r w:rsidRPr="00F3470C">
        <w:rPr>
          <w:rFonts w:hint="cs"/>
          <w:b/>
          <w:bCs/>
          <w:spacing w:val="-2"/>
          <w:rtl/>
        </w:rPr>
        <w:t>يتهما</w:t>
      </w:r>
      <w:r w:rsidRPr="00F3470C">
        <w:rPr>
          <w:b/>
          <w:bCs/>
          <w:spacing w:val="-2"/>
          <w:rtl/>
        </w:rPr>
        <w:t xml:space="preserve"> </w:t>
      </w:r>
      <w:r w:rsidRPr="00F3470C">
        <w:rPr>
          <w:rFonts w:hint="cs"/>
          <w:b/>
          <w:bCs/>
          <w:spacing w:val="-2"/>
          <w:rtl/>
        </w:rPr>
        <w:t>و</w:t>
      </w:r>
      <w:r w:rsidRPr="00F3470C">
        <w:rPr>
          <w:b/>
          <w:bCs/>
          <w:spacing w:val="-2"/>
          <w:rtl/>
        </w:rPr>
        <w:t>موارد</w:t>
      </w:r>
      <w:r w:rsidRPr="00F3470C">
        <w:rPr>
          <w:rFonts w:hint="cs"/>
          <w:b/>
          <w:bCs/>
          <w:spacing w:val="-2"/>
          <w:rtl/>
        </w:rPr>
        <w:t>ه</w:t>
      </w:r>
      <w:r w:rsidR="006102AD">
        <w:rPr>
          <w:rFonts w:hint="cs"/>
          <w:b/>
          <w:bCs/>
          <w:spacing w:val="-2"/>
          <w:rtl/>
        </w:rPr>
        <w:t>م</w:t>
      </w:r>
      <w:r w:rsidRPr="00F3470C">
        <w:rPr>
          <w:rFonts w:hint="cs"/>
          <w:b/>
          <w:bCs/>
          <w:spacing w:val="-2"/>
          <w:rtl/>
        </w:rPr>
        <w:t>ا</w:t>
      </w:r>
      <w:r w:rsidRPr="00F3470C">
        <w:rPr>
          <w:b/>
          <w:bCs/>
          <w:spacing w:val="-2"/>
          <w:rtl/>
        </w:rPr>
        <w:t xml:space="preserve"> المالية، وأن تبذل كل جهد لجعل مكتب أمين المظالم يمتثل امتثالاً كاملاً لمبادئ باريس، بما في ذلك من خلال إجراء التعديلات التشريعية اللازمة على قانون أمين المظالم، على نحو ما ذُكر أثناء الحوار، والأخذ في الاعتبار توصية </w:t>
      </w:r>
      <w:r w:rsidRPr="00F3470C">
        <w:rPr>
          <w:rFonts w:hint="cs"/>
          <w:b/>
          <w:bCs/>
          <w:spacing w:val="-2"/>
          <w:rtl/>
        </w:rPr>
        <w:t xml:space="preserve">اللجنة </w:t>
      </w:r>
      <w:r w:rsidRPr="00F3470C">
        <w:rPr>
          <w:b/>
          <w:bCs/>
          <w:spacing w:val="-2"/>
          <w:rtl/>
        </w:rPr>
        <w:t>العامة رقم 17(1993) بشأن إنشاء مؤسسات وطنية لتيسير تنفيذ الاتفاقية؛</w:t>
      </w:r>
    </w:p>
    <w:p w:rsidR="00FC3308" w:rsidRPr="009D647D" w:rsidRDefault="00FC3308" w:rsidP="00FC3308">
      <w:pPr>
        <w:pStyle w:val="SingleTxtGA"/>
        <w:rPr>
          <w:b/>
          <w:bCs/>
          <w:rtl/>
        </w:rPr>
      </w:pPr>
      <w:r w:rsidRPr="009D647D">
        <w:rPr>
          <w:rtl/>
        </w:rPr>
        <w:tab/>
        <w:t>(ب)</w:t>
      </w:r>
      <w:r w:rsidRPr="009D647D">
        <w:rPr>
          <w:rtl/>
        </w:rPr>
        <w:tab/>
      </w:r>
      <w:r w:rsidRPr="009D647D">
        <w:rPr>
          <w:rFonts w:hint="cs"/>
          <w:b/>
          <w:bCs/>
          <w:rtl/>
        </w:rPr>
        <w:t xml:space="preserve">أن </w:t>
      </w:r>
      <w:r w:rsidRPr="009D647D">
        <w:rPr>
          <w:b/>
          <w:bCs/>
          <w:rtl/>
        </w:rPr>
        <w:t>تتخذ تدابير فعالة لتعزيز ثقة الجمهور في المؤسسات والآليات القائمة المسؤولة عن التصدي لجرائم الكراهية العنصرية؛</w:t>
      </w:r>
    </w:p>
    <w:p w:rsidR="00FC3308" w:rsidRPr="009D647D" w:rsidRDefault="00FC3308" w:rsidP="00FC3308">
      <w:pPr>
        <w:pStyle w:val="SingleTxtGA"/>
        <w:rPr>
          <w:b/>
          <w:bCs/>
          <w:rtl/>
        </w:rPr>
      </w:pPr>
      <w:r w:rsidRPr="009D647D">
        <w:rPr>
          <w:rtl/>
        </w:rPr>
        <w:tab/>
        <w:t>(ج)</w:t>
      </w:r>
      <w:r w:rsidRPr="009D647D">
        <w:rPr>
          <w:rtl/>
        </w:rPr>
        <w:tab/>
      </w:r>
      <w:r w:rsidRPr="009D647D">
        <w:rPr>
          <w:rFonts w:hint="cs"/>
          <w:b/>
          <w:bCs/>
          <w:rtl/>
        </w:rPr>
        <w:t xml:space="preserve">أن </w:t>
      </w:r>
      <w:r w:rsidRPr="009D647D">
        <w:rPr>
          <w:b/>
          <w:bCs/>
          <w:rtl/>
        </w:rPr>
        <w:t>تطلق حملات لشحذ وعي الجمهور والجماعات ال</w:t>
      </w:r>
      <w:r w:rsidRPr="009D647D">
        <w:rPr>
          <w:rFonts w:hint="cs"/>
          <w:b/>
          <w:bCs/>
          <w:rtl/>
        </w:rPr>
        <w:t>معرضة</w:t>
      </w:r>
      <w:r w:rsidRPr="009D647D">
        <w:rPr>
          <w:b/>
          <w:bCs/>
          <w:rtl/>
        </w:rPr>
        <w:t xml:space="preserve"> للتمييز</w:t>
      </w:r>
      <w:r w:rsidRPr="009D647D">
        <w:rPr>
          <w:rFonts w:hint="cs"/>
          <w:b/>
          <w:bCs/>
          <w:rtl/>
        </w:rPr>
        <w:t xml:space="preserve"> على نحو خاص</w:t>
      </w:r>
      <w:r w:rsidRPr="009D647D">
        <w:rPr>
          <w:b/>
          <w:bCs/>
          <w:rtl/>
        </w:rPr>
        <w:t xml:space="preserve"> بشأن الآليات المتاحة لتقديم الشكاوى؛</w:t>
      </w:r>
    </w:p>
    <w:p w:rsidR="00FC3308" w:rsidRPr="009D647D" w:rsidRDefault="00FC3308" w:rsidP="00FC3308">
      <w:pPr>
        <w:pStyle w:val="SingleTxtGA"/>
        <w:rPr>
          <w:b/>
          <w:bCs/>
          <w:rtl/>
        </w:rPr>
      </w:pPr>
      <w:r w:rsidRPr="009D647D">
        <w:rPr>
          <w:rtl/>
        </w:rPr>
        <w:tab/>
        <w:t>(د)</w:t>
      </w:r>
      <w:r w:rsidRPr="009D647D">
        <w:rPr>
          <w:rtl/>
        </w:rPr>
        <w:tab/>
      </w:r>
      <w:r w:rsidRPr="009D647D">
        <w:rPr>
          <w:rFonts w:hint="cs"/>
          <w:b/>
          <w:bCs/>
          <w:rtl/>
        </w:rPr>
        <w:t xml:space="preserve">أن </w:t>
      </w:r>
      <w:r w:rsidRPr="009D647D">
        <w:rPr>
          <w:b/>
          <w:bCs/>
          <w:rtl/>
        </w:rPr>
        <w:t>تكفل أن تكون إجراءات الشكوى بسيطة، ومعروفة على نطاق واسع، وفي متناول الجميع.</w:t>
      </w:r>
      <w:bookmarkStart w:id="7" w:name="_Toc483922859"/>
    </w:p>
    <w:p w:rsidR="00FC3308" w:rsidRPr="009D647D" w:rsidRDefault="00FC3308" w:rsidP="00FC3308">
      <w:pPr>
        <w:pStyle w:val="H23GA"/>
        <w:rPr>
          <w:rtl/>
        </w:rPr>
      </w:pPr>
      <w:r w:rsidRPr="009D647D">
        <w:rPr>
          <w:rFonts w:hint="cs"/>
          <w:rtl/>
        </w:rPr>
        <w:tab/>
      </w:r>
      <w:r w:rsidRPr="009D647D">
        <w:rPr>
          <w:rFonts w:hint="cs"/>
          <w:rtl/>
        </w:rPr>
        <w:tab/>
      </w:r>
      <w:r w:rsidRPr="009D647D">
        <w:rPr>
          <w:rtl/>
        </w:rPr>
        <w:t>خطاب الكراهية وجرائم الكراهية</w:t>
      </w:r>
      <w:bookmarkEnd w:id="7"/>
    </w:p>
    <w:p w:rsidR="00FC3308" w:rsidRPr="009D647D" w:rsidRDefault="00FC3308" w:rsidP="00FC3308">
      <w:pPr>
        <w:pStyle w:val="SingleTxtGA"/>
        <w:rPr>
          <w:rtl/>
        </w:rPr>
      </w:pPr>
      <w:r w:rsidRPr="009D647D">
        <w:rPr>
          <w:rtl/>
        </w:rPr>
        <w:t>11-</w:t>
      </w:r>
      <w:r w:rsidRPr="009D647D">
        <w:rPr>
          <w:rtl/>
        </w:rPr>
        <w:tab/>
        <w:t xml:space="preserve">تشعر اللجنة بقلق بالغ إزاء </w:t>
      </w:r>
      <w:r w:rsidRPr="009D647D">
        <w:rPr>
          <w:rFonts w:hint="cs"/>
          <w:rtl/>
        </w:rPr>
        <w:t xml:space="preserve">ما ذكر عن </w:t>
      </w:r>
      <w:r w:rsidRPr="009D647D">
        <w:rPr>
          <w:rtl/>
        </w:rPr>
        <w:t xml:space="preserve">زيادة عدد حوادث خطاب الكراهية وجرائم الكراهية خلال الفترة قيد الاستعراض، لا سيما الحوادث التي </w:t>
      </w:r>
      <w:r w:rsidRPr="009D647D">
        <w:rPr>
          <w:rFonts w:hint="cs"/>
          <w:rtl/>
        </w:rPr>
        <w:t>ت</w:t>
      </w:r>
      <w:r w:rsidRPr="009D647D">
        <w:rPr>
          <w:rtl/>
        </w:rPr>
        <w:t>ستهدف أقليات مثل الأتراك، والروما، والمسلمين، واليهود، والسكان المنحدرين من أصل أفريقي، والمهاجرين، واللاجئين، وطالبي اللجوء. وتشعر اللجنة بالقلق على وجه الخصوص لأن الخطاب</w:t>
      </w:r>
      <w:r w:rsidRPr="009D647D">
        <w:rPr>
          <w:rFonts w:hint="cs"/>
          <w:rtl/>
        </w:rPr>
        <w:t>ات</w:t>
      </w:r>
      <w:r w:rsidRPr="009D647D">
        <w:rPr>
          <w:rtl/>
        </w:rPr>
        <w:t xml:space="preserve"> والنداءات العنصرية </w:t>
      </w:r>
      <w:r w:rsidRPr="009D647D">
        <w:rPr>
          <w:rtl/>
        </w:rPr>
        <w:lastRenderedPageBreak/>
        <w:t xml:space="preserve">أصبحت </w:t>
      </w:r>
      <w:r w:rsidRPr="009D647D">
        <w:rPr>
          <w:rFonts w:hint="cs"/>
          <w:rtl/>
        </w:rPr>
        <w:t xml:space="preserve">واضحة </w:t>
      </w:r>
      <w:r w:rsidRPr="009D647D">
        <w:rPr>
          <w:rtl/>
        </w:rPr>
        <w:t>أثناء الحملات الانتخابية، ولأن الأحزاب السياسية والمرشحين كثيرا</w:t>
      </w:r>
      <w:r>
        <w:rPr>
          <w:rtl/>
        </w:rPr>
        <w:t>ً</w:t>
      </w:r>
      <w:r w:rsidRPr="009D647D">
        <w:rPr>
          <w:rtl/>
        </w:rPr>
        <w:t xml:space="preserve"> ما يكيلون الشتائم ل</w:t>
      </w:r>
      <w:r w:rsidRPr="009D647D">
        <w:rPr>
          <w:rFonts w:hint="cs"/>
          <w:rtl/>
        </w:rPr>
        <w:t>مجموعات ا</w:t>
      </w:r>
      <w:r w:rsidRPr="009D647D">
        <w:rPr>
          <w:rtl/>
        </w:rPr>
        <w:t>لأقليات وأفراد</w:t>
      </w:r>
      <w:r w:rsidRPr="009D647D">
        <w:rPr>
          <w:rFonts w:hint="cs"/>
          <w:rtl/>
        </w:rPr>
        <w:t>ها</w:t>
      </w:r>
      <w:r w:rsidRPr="009D647D">
        <w:rPr>
          <w:rtl/>
        </w:rPr>
        <w:t xml:space="preserve">. وعلاوة على ذلك، تلاحظ اللجنة مع القلق أن مجلس وسائط الإعلام الإلكترونية لم </w:t>
      </w:r>
      <w:r w:rsidRPr="009D647D">
        <w:rPr>
          <w:rFonts w:hint="cs"/>
          <w:rtl/>
        </w:rPr>
        <w:t>ي</w:t>
      </w:r>
      <w:r w:rsidRPr="009D647D">
        <w:rPr>
          <w:rtl/>
        </w:rPr>
        <w:t xml:space="preserve">كبح </w:t>
      </w:r>
      <w:r w:rsidRPr="009D647D">
        <w:rPr>
          <w:rFonts w:hint="cs"/>
          <w:rtl/>
        </w:rPr>
        <w:t>خ</w:t>
      </w:r>
      <w:r w:rsidRPr="009D647D">
        <w:rPr>
          <w:rtl/>
        </w:rPr>
        <w:t>طاب العنصري</w:t>
      </w:r>
      <w:r w:rsidRPr="009D647D">
        <w:rPr>
          <w:rFonts w:hint="cs"/>
          <w:rtl/>
        </w:rPr>
        <w:t>ة</w:t>
      </w:r>
      <w:r w:rsidRPr="009D647D">
        <w:rPr>
          <w:rtl/>
        </w:rPr>
        <w:t xml:space="preserve"> ونشر خطاب الكراهية على الإنترنت ووسائ</w:t>
      </w:r>
      <w:r w:rsidRPr="009D647D">
        <w:rPr>
          <w:rFonts w:hint="cs"/>
          <w:rtl/>
        </w:rPr>
        <w:t xml:space="preserve">ل التواصل </w:t>
      </w:r>
      <w:r w:rsidRPr="009D647D">
        <w:rPr>
          <w:rtl/>
        </w:rPr>
        <w:t>الاجتماعي (المواد 2، و4، و7).</w:t>
      </w:r>
    </w:p>
    <w:p w:rsidR="00FC3308" w:rsidRPr="009D647D" w:rsidRDefault="00FC3308" w:rsidP="00FC3308">
      <w:pPr>
        <w:pStyle w:val="SingleTxtGA"/>
        <w:rPr>
          <w:b/>
          <w:bCs/>
          <w:rtl/>
        </w:rPr>
      </w:pPr>
      <w:r w:rsidRPr="009D647D">
        <w:rPr>
          <w:rtl/>
        </w:rPr>
        <w:t>12-</w:t>
      </w:r>
      <w:r w:rsidRPr="009D647D">
        <w:rPr>
          <w:rtl/>
        </w:rPr>
        <w:tab/>
      </w:r>
      <w:r w:rsidRPr="009D647D">
        <w:rPr>
          <w:b/>
          <w:bCs/>
          <w:rtl/>
        </w:rPr>
        <w:t xml:space="preserve">توصي اللجنة، </w:t>
      </w:r>
      <w:r w:rsidRPr="009D647D">
        <w:rPr>
          <w:rFonts w:hint="cs"/>
          <w:b/>
          <w:bCs/>
          <w:rtl/>
        </w:rPr>
        <w:t>عملا</w:t>
      </w:r>
      <w:r>
        <w:rPr>
          <w:rFonts w:hint="cs"/>
          <w:b/>
          <w:bCs/>
          <w:rtl/>
        </w:rPr>
        <w:t>ً</w:t>
      </w:r>
      <w:r w:rsidRPr="009D647D">
        <w:rPr>
          <w:rFonts w:hint="cs"/>
          <w:b/>
          <w:bCs/>
          <w:rtl/>
        </w:rPr>
        <w:t xml:space="preserve"> ب</w:t>
      </w:r>
      <w:r w:rsidRPr="009D647D">
        <w:rPr>
          <w:b/>
          <w:bCs/>
          <w:rtl/>
        </w:rPr>
        <w:t>توصيتها العامة رقم 35(2013) بشأن مكافحة خطاب التحريض على الكراهية العنصرية، بأن تضطلع الدولة الطرف بما يلي:</w:t>
      </w:r>
    </w:p>
    <w:p w:rsidR="00FC3308" w:rsidRPr="009D647D" w:rsidRDefault="00FC3308" w:rsidP="00FC3308">
      <w:pPr>
        <w:pStyle w:val="SingleTxtGA"/>
        <w:rPr>
          <w:b/>
          <w:bCs/>
          <w:rtl/>
        </w:rPr>
      </w:pPr>
      <w:r w:rsidRPr="009D647D">
        <w:rPr>
          <w:rtl/>
        </w:rPr>
        <w:tab/>
        <w:t>(أ)</w:t>
      </w:r>
      <w:r w:rsidRPr="009D647D">
        <w:rPr>
          <w:rtl/>
        </w:rPr>
        <w:tab/>
      </w:r>
      <w:r w:rsidRPr="009D647D">
        <w:rPr>
          <w:rFonts w:hint="cs"/>
          <w:b/>
          <w:bCs/>
          <w:rtl/>
        </w:rPr>
        <w:t xml:space="preserve">أن </w:t>
      </w:r>
      <w:r w:rsidRPr="009D647D">
        <w:rPr>
          <w:b/>
          <w:bCs/>
          <w:rtl/>
        </w:rPr>
        <w:t>تُعدل القانون المتعلق بالحماية من التمييز والأفعال الأخرى، حسب الاقتضاء، ل</w:t>
      </w:r>
      <w:r w:rsidRPr="009D647D">
        <w:rPr>
          <w:rFonts w:hint="cs"/>
          <w:b/>
          <w:bCs/>
          <w:rtl/>
        </w:rPr>
        <w:t>ي</w:t>
      </w:r>
      <w:r w:rsidRPr="009D647D">
        <w:rPr>
          <w:b/>
          <w:bCs/>
          <w:rtl/>
        </w:rPr>
        <w:t>تضمن تعريفا</w:t>
      </w:r>
      <w:r>
        <w:rPr>
          <w:b/>
          <w:bCs/>
          <w:rtl/>
        </w:rPr>
        <w:t>ً</w:t>
      </w:r>
      <w:r w:rsidRPr="009D647D">
        <w:rPr>
          <w:b/>
          <w:bCs/>
          <w:rtl/>
        </w:rPr>
        <w:t xml:space="preserve"> لخطاب الكراهية يتوافق مع المادة 4 من الاتفاقية، و</w:t>
      </w:r>
      <w:r w:rsidRPr="009D647D">
        <w:rPr>
          <w:rFonts w:hint="cs"/>
          <w:b/>
          <w:bCs/>
          <w:rtl/>
        </w:rPr>
        <w:t>ا</w:t>
      </w:r>
      <w:r w:rsidRPr="009D647D">
        <w:rPr>
          <w:b/>
          <w:bCs/>
          <w:rtl/>
        </w:rPr>
        <w:t>ضع</w:t>
      </w:r>
      <w:r w:rsidRPr="009D647D">
        <w:rPr>
          <w:rFonts w:hint="cs"/>
          <w:b/>
          <w:bCs/>
          <w:rtl/>
        </w:rPr>
        <w:t>ة</w:t>
      </w:r>
      <w:r w:rsidRPr="009D647D">
        <w:rPr>
          <w:b/>
          <w:bCs/>
          <w:rtl/>
        </w:rPr>
        <w:t xml:space="preserve"> في اعتبارها أيضا</w:t>
      </w:r>
      <w:r>
        <w:rPr>
          <w:b/>
          <w:bCs/>
          <w:rtl/>
        </w:rPr>
        <w:t>ً</w:t>
      </w:r>
      <w:r w:rsidRPr="009D647D">
        <w:rPr>
          <w:b/>
          <w:bCs/>
          <w:rtl/>
        </w:rPr>
        <w:t xml:space="preserve"> التوصيت</w:t>
      </w:r>
      <w:r w:rsidRPr="009D647D">
        <w:rPr>
          <w:rFonts w:hint="cs"/>
          <w:b/>
          <w:bCs/>
          <w:rtl/>
        </w:rPr>
        <w:t>ين</w:t>
      </w:r>
      <w:r w:rsidRPr="009D647D">
        <w:rPr>
          <w:b/>
          <w:bCs/>
          <w:rtl/>
        </w:rPr>
        <w:t xml:space="preserve"> العام</w:t>
      </w:r>
      <w:r w:rsidRPr="009D647D">
        <w:rPr>
          <w:rFonts w:hint="cs"/>
          <w:b/>
          <w:bCs/>
          <w:rtl/>
        </w:rPr>
        <w:t>تين</w:t>
      </w:r>
      <w:r w:rsidRPr="009D647D">
        <w:rPr>
          <w:b/>
          <w:bCs/>
          <w:rtl/>
        </w:rPr>
        <w:t xml:space="preserve"> رقم 7(1985) المتعلقة بتنفيذ المادة 4 من الاتفاقية، ورقم 15(1993) المتعلقة بالمادة 4 من الاتفاقية؛</w:t>
      </w:r>
    </w:p>
    <w:p w:rsidR="00FC3308" w:rsidRPr="009D647D" w:rsidRDefault="00FC3308" w:rsidP="00FC3308">
      <w:pPr>
        <w:pStyle w:val="SingleTxtGA"/>
        <w:rPr>
          <w:b/>
          <w:bCs/>
          <w:rtl/>
        </w:rPr>
      </w:pPr>
      <w:r w:rsidRPr="009D647D">
        <w:rPr>
          <w:rtl/>
        </w:rPr>
        <w:tab/>
        <w:t>(</w:t>
      </w:r>
      <w:r w:rsidRPr="009D647D">
        <w:rPr>
          <w:rFonts w:hint="cs"/>
          <w:rtl/>
        </w:rPr>
        <w:t>ب</w:t>
      </w:r>
      <w:r w:rsidRPr="009D647D">
        <w:rPr>
          <w:rtl/>
        </w:rPr>
        <w:t>)</w:t>
      </w:r>
      <w:r w:rsidRPr="009D647D">
        <w:rPr>
          <w:rtl/>
        </w:rPr>
        <w:tab/>
      </w:r>
      <w:r w:rsidRPr="009D647D">
        <w:rPr>
          <w:rFonts w:hint="cs"/>
          <w:b/>
          <w:bCs/>
          <w:rtl/>
        </w:rPr>
        <w:t>أن يضع</w:t>
      </w:r>
      <w:r w:rsidRPr="009D647D">
        <w:rPr>
          <w:b/>
          <w:bCs/>
          <w:rtl/>
        </w:rPr>
        <w:t xml:space="preserve"> </w:t>
      </w:r>
      <w:r w:rsidRPr="009D647D">
        <w:rPr>
          <w:rFonts w:hint="cs"/>
          <w:b/>
          <w:bCs/>
          <w:rtl/>
        </w:rPr>
        <w:t>مسؤولوها الحكوميون</w:t>
      </w:r>
      <w:r w:rsidRPr="009D647D">
        <w:rPr>
          <w:b/>
          <w:bCs/>
          <w:rtl/>
        </w:rPr>
        <w:t xml:space="preserve"> </w:t>
      </w:r>
      <w:r w:rsidRPr="009D647D">
        <w:rPr>
          <w:rFonts w:hint="cs"/>
          <w:b/>
          <w:bCs/>
          <w:rtl/>
        </w:rPr>
        <w:t>و</w:t>
      </w:r>
      <w:r w:rsidRPr="009D647D">
        <w:rPr>
          <w:b/>
          <w:bCs/>
          <w:rtl/>
        </w:rPr>
        <w:t>السياسيون بروتوكولات لمنع وإدانة خطاب الكراهية، و</w:t>
      </w:r>
      <w:r w:rsidRPr="009D647D">
        <w:rPr>
          <w:rFonts w:hint="cs"/>
          <w:b/>
          <w:bCs/>
          <w:rtl/>
        </w:rPr>
        <w:t>تحقق</w:t>
      </w:r>
      <w:r w:rsidRPr="009D647D">
        <w:rPr>
          <w:b/>
          <w:bCs/>
          <w:rtl/>
        </w:rPr>
        <w:t xml:space="preserve"> في حوادث خطاب الكراهية العنصرية والعنف بدوافع عنصرية، وتتخذ التدابير المناسبة ضد الأشخاص الذين يستخدمون خطاب الكراهية، و</w:t>
      </w:r>
      <w:r w:rsidRPr="009D647D">
        <w:rPr>
          <w:rFonts w:hint="cs"/>
          <w:b/>
          <w:bCs/>
          <w:rtl/>
        </w:rPr>
        <w:t>تقاضي</w:t>
      </w:r>
      <w:r w:rsidRPr="009D647D">
        <w:rPr>
          <w:b/>
          <w:bCs/>
          <w:rtl/>
        </w:rPr>
        <w:t xml:space="preserve"> مرتكبي الجرائم بدوافع عنصرية؛</w:t>
      </w:r>
    </w:p>
    <w:p w:rsidR="00FC3308" w:rsidRPr="009D647D" w:rsidRDefault="00FC3308" w:rsidP="00FC3308">
      <w:pPr>
        <w:pStyle w:val="SingleTxtGA"/>
        <w:rPr>
          <w:b/>
          <w:bCs/>
          <w:rtl/>
        </w:rPr>
      </w:pPr>
      <w:r w:rsidRPr="009D647D">
        <w:rPr>
          <w:rtl/>
        </w:rPr>
        <w:tab/>
        <w:t>(</w:t>
      </w:r>
      <w:r w:rsidRPr="009D647D">
        <w:rPr>
          <w:rFonts w:hint="cs"/>
          <w:rtl/>
        </w:rPr>
        <w:t>ج</w:t>
      </w:r>
      <w:r w:rsidRPr="009D647D">
        <w:rPr>
          <w:rtl/>
        </w:rPr>
        <w:t>)</w:t>
      </w:r>
      <w:r w:rsidRPr="009D647D">
        <w:rPr>
          <w:rtl/>
        </w:rPr>
        <w:tab/>
      </w:r>
      <w:r w:rsidRPr="009D647D">
        <w:rPr>
          <w:rFonts w:hint="cs"/>
          <w:b/>
          <w:bCs/>
          <w:rtl/>
        </w:rPr>
        <w:t>أن تشحذ</w:t>
      </w:r>
      <w:r w:rsidRPr="009D647D">
        <w:rPr>
          <w:b/>
          <w:bCs/>
          <w:rtl/>
        </w:rPr>
        <w:t xml:space="preserve"> </w:t>
      </w:r>
      <w:r w:rsidRPr="009D647D">
        <w:rPr>
          <w:rFonts w:hint="cs"/>
          <w:b/>
          <w:bCs/>
          <w:rtl/>
        </w:rPr>
        <w:t>وعي</w:t>
      </w:r>
      <w:r w:rsidRPr="009D647D">
        <w:rPr>
          <w:b/>
          <w:bCs/>
          <w:rtl/>
        </w:rPr>
        <w:t xml:space="preserve"> </w:t>
      </w:r>
      <w:r w:rsidRPr="009D647D">
        <w:rPr>
          <w:rFonts w:hint="cs"/>
          <w:b/>
          <w:bCs/>
          <w:rtl/>
        </w:rPr>
        <w:t>الجمهور</w:t>
      </w:r>
      <w:r w:rsidRPr="009D647D">
        <w:rPr>
          <w:b/>
          <w:bCs/>
          <w:rtl/>
        </w:rPr>
        <w:t xml:space="preserve"> </w:t>
      </w:r>
      <w:r w:rsidRPr="009D647D">
        <w:rPr>
          <w:rFonts w:hint="cs"/>
          <w:b/>
          <w:bCs/>
          <w:rtl/>
        </w:rPr>
        <w:t>بشأن</w:t>
      </w:r>
      <w:r w:rsidRPr="009D647D">
        <w:rPr>
          <w:b/>
          <w:bCs/>
          <w:rtl/>
        </w:rPr>
        <w:t xml:space="preserve"> </w:t>
      </w:r>
      <w:r w:rsidRPr="009D647D">
        <w:rPr>
          <w:rFonts w:hint="cs"/>
          <w:b/>
          <w:bCs/>
          <w:rtl/>
        </w:rPr>
        <w:t>احترام</w:t>
      </w:r>
      <w:r w:rsidRPr="009D647D">
        <w:rPr>
          <w:b/>
          <w:bCs/>
          <w:rtl/>
        </w:rPr>
        <w:t xml:space="preserve"> </w:t>
      </w:r>
      <w:r w:rsidRPr="009D647D">
        <w:rPr>
          <w:rFonts w:hint="cs"/>
          <w:b/>
          <w:bCs/>
          <w:rtl/>
        </w:rPr>
        <w:t>التنوع</w:t>
      </w:r>
      <w:r w:rsidRPr="009D647D">
        <w:rPr>
          <w:b/>
          <w:bCs/>
          <w:rtl/>
        </w:rPr>
        <w:t>، والقضاء على التمييز العنصري؛</w:t>
      </w:r>
    </w:p>
    <w:p w:rsidR="00FC3308" w:rsidRPr="009D647D" w:rsidRDefault="00FC3308" w:rsidP="00FC3308">
      <w:pPr>
        <w:pStyle w:val="SingleTxtGA"/>
        <w:rPr>
          <w:b/>
          <w:bCs/>
          <w:rtl/>
        </w:rPr>
      </w:pPr>
      <w:r w:rsidRPr="009D647D">
        <w:rPr>
          <w:rtl/>
        </w:rPr>
        <w:tab/>
        <w:t>(</w:t>
      </w:r>
      <w:r w:rsidRPr="009D647D">
        <w:rPr>
          <w:rFonts w:hint="cs"/>
          <w:rtl/>
        </w:rPr>
        <w:t>د</w:t>
      </w:r>
      <w:r w:rsidRPr="009D647D">
        <w:rPr>
          <w:rtl/>
        </w:rPr>
        <w:t>)</w:t>
      </w:r>
      <w:r w:rsidRPr="009D647D">
        <w:rPr>
          <w:rtl/>
        </w:rPr>
        <w:tab/>
      </w:r>
      <w:r w:rsidRPr="009D647D">
        <w:rPr>
          <w:rFonts w:hint="cs"/>
          <w:b/>
          <w:bCs/>
          <w:rtl/>
        </w:rPr>
        <w:t>أن تكفل</w:t>
      </w:r>
      <w:r w:rsidRPr="009D647D">
        <w:rPr>
          <w:b/>
          <w:bCs/>
          <w:rtl/>
        </w:rPr>
        <w:t xml:space="preserve"> </w:t>
      </w:r>
      <w:r w:rsidRPr="009D647D">
        <w:rPr>
          <w:rFonts w:hint="cs"/>
          <w:b/>
          <w:bCs/>
          <w:rtl/>
        </w:rPr>
        <w:t>أن</w:t>
      </w:r>
      <w:r w:rsidRPr="009D647D">
        <w:rPr>
          <w:b/>
          <w:bCs/>
          <w:rtl/>
        </w:rPr>
        <w:t xml:space="preserve"> </w:t>
      </w:r>
      <w:r w:rsidRPr="009D647D">
        <w:rPr>
          <w:rFonts w:hint="cs"/>
          <w:b/>
          <w:bCs/>
          <w:rtl/>
        </w:rPr>
        <w:t>تكون</w:t>
      </w:r>
      <w:r w:rsidRPr="009D647D">
        <w:rPr>
          <w:b/>
          <w:bCs/>
          <w:rtl/>
        </w:rPr>
        <w:t xml:space="preserve"> </w:t>
      </w:r>
      <w:r w:rsidRPr="009D647D">
        <w:rPr>
          <w:rFonts w:hint="cs"/>
          <w:b/>
          <w:bCs/>
          <w:rtl/>
        </w:rPr>
        <w:t>تشريعاتها</w:t>
      </w:r>
      <w:r w:rsidRPr="009D647D">
        <w:rPr>
          <w:b/>
          <w:bCs/>
          <w:rtl/>
        </w:rPr>
        <w:t xml:space="preserve"> </w:t>
      </w:r>
      <w:r w:rsidRPr="009D647D">
        <w:rPr>
          <w:rFonts w:hint="cs"/>
          <w:b/>
          <w:bCs/>
          <w:rtl/>
        </w:rPr>
        <w:t>المتصلة</w:t>
      </w:r>
      <w:r w:rsidRPr="009D647D">
        <w:rPr>
          <w:b/>
          <w:bCs/>
          <w:rtl/>
        </w:rPr>
        <w:t xml:space="preserve"> </w:t>
      </w:r>
      <w:r w:rsidRPr="009D647D">
        <w:rPr>
          <w:rFonts w:hint="cs"/>
          <w:b/>
          <w:bCs/>
          <w:rtl/>
        </w:rPr>
        <w:t>بوسائط</w:t>
      </w:r>
      <w:r w:rsidRPr="009D647D">
        <w:rPr>
          <w:b/>
          <w:bCs/>
          <w:rtl/>
        </w:rPr>
        <w:t xml:space="preserve"> </w:t>
      </w:r>
      <w:r w:rsidRPr="009D647D">
        <w:rPr>
          <w:rFonts w:hint="cs"/>
          <w:b/>
          <w:bCs/>
          <w:rtl/>
        </w:rPr>
        <w:t>الإعلام</w:t>
      </w:r>
      <w:r w:rsidRPr="009D647D">
        <w:rPr>
          <w:b/>
          <w:bCs/>
          <w:rtl/>
        </w:rPr>
        <w:t xml:space="preserve"> </w:t>
      </w:r>
      <w:r w:rsidRPr="009D647D">
        <w:rPr>
          <w:rFonts w:hint="cs"/>
          <w:b/>
          <w:bCs/>
          <w:rtl/>
        </w:rPr>
        <w:t>وفقا</w:t>
      </w:r>
      <w:r>
        <w:rPr>
          <w:rFonts w:hint="cs"/>
          <w:b/>
          <w:bCs/>
          <w:rtl/>
        </w:rPr>
        <w:t>ً</w:t>
      </w:r>
      <w:r w:rsidRPr="009D647D">
        <w:rPr>
          <w:b/>
          <w:bCs/>
          <w:rtl/>
        </w:rPr>
        <w:t xml:space="preserve"> </w:t>
      </w:r>
      <w:r w:rsidRPr="009D647D">
        <w:rPr>
          <w:rFonts w:hint="cs"/>
          <w:b/>
          <w:bCs/>
          <w:rtl/>
        </w:rPr>
        <w:t>للمعايير</w:t>
      </w:r>
      <w:r w:rsidRPr="009D647D">
        <w:rPr>
          <w:b/>
          <w:bCs/>
          <w:rtl/>
        </w:rPr>
        <w:t xml:space="preserve"> </w:t>
      </w:r>
      <w:r w:rsidRPr="009D647D">
        <w:rPr>
          <w:rFonts w:hint="cs"/>
          <w:b/>
          <w:bCs/>
          <w:rtl/>
        </w:rPr>
        <w:t>الدولية،</w:t>
      </w:r>
      <w:r w:rsidRPr="009D647D">
        <w:rPr>
          <w:b/>
          <w:bCs/>
          <w:rtl/>
        </w:rPr>
        <w:t xml:space="preserve"> </w:t>
      </w:r>
      <w:r w:rsidRPr="009D647D">
        <w:rPr>
          <w:rFonts w:hint="cs"/>
          <w:b/>
          <w:bCs/>
          <w:rtl/>
        </w:rPr>
        <w:t>وتتخذ</w:t>
      </w:r>
      <w:r w:rsidRPr="009D647D">
        <w:rPr>
          <w:b/>
          <w:bCs/>
          <w:rtl/>
        </w:rPr>
        <w:t xml:space="preserve"> </w:t>
      </w:r>
      <w:r w:rsidRPr="009D647D">
        <w:rPr>
          <w:rFonts w:hint="cs"/>
          <w:b/>
          <w:bCs/>
          <w:rtl/>
        </w:rPr>
        <w:t>تدابير</w:t>
      </w:r>
      <w:r w:rsidRPr="009D647D">
        <w:rPr>
          <w:b/>
          <w:bCs/>
          <w:rtl/>
        </w:rPr>
        <w:t xml:space="preserve"> </w:t>
      </w:r>
      <w:r w:rsidRPr="009D647D">
        <w:rPr>
          <w:rFonts w:hint="cs"/>
          <w:b/>
          <w:bCs/>
          <w:rtl/>
        </w:rPr>
        <w:t>فعالة</w:t>
      </w:r>
      <w:r w:rsidRPr="009D647D">
        <w:rPr>
          <w:b/>
          <w:bCs/>
          <w:rtl/>
        </w:rPr>
        <w:t xml:space="preserve"> </w:t>
      </w:r>
      <w:r w:rsidRPr="009D647D">
        <w:rPr>
          <w:rFonts w:hint="cs"/>
          <w:b/>
          <w:bCs/>
          <w:rtl/>
        </w:rPr>
        <w:t>لتعزيز</w:t>
      </w:r>
      <w:r w:rsidRPr="009D647D">
        <w:rPr>
          <w:b/>
          <w:bCs/>
          <w:rtl/>
        </w:rPr>
        <w:t xml:space="preserve"> </w:t>
      </w:r>
      <w:r w:rsidRPr="009D647D">
        <w:rPr>
          <w:rFonts w:hint="cs"/>
          <w:b/>
          <w:bCs/>
          <w:rtl/>
        </w:rPr>
        <w:t>ولاية</w:t>
      </w:r>
      <w:r w:rsidRPr="009D647D">
        <w:rPr>
          <w:b/>
          <w:bCs/>
          <w:rtl/>
        </w:rPr>
        <w:t xml:space="preserve"> </w:t>
      </w:r>
      <w:r w:rsidRPr="009D647D">
        <w:rPr>
          <w:rFonts w:hint="cs"/>
          <w:b/>
          <w:bCs/>
          <w:rtl/>
        </w:rPr>
        <w:t>وقدرة</w:t>
      </w:r>
      <w:r w:rsidRPr="009D647D">
        <w:rPr>
          <w:b/>
          <w:bCs/>
          <w:rtl/>
        </w:rPr>
        <w:t xml:space="preserve"> </w:t>
      </w:r>
      <w:r w:rsidRPr="009D647D">
        <w:rPr>
          <w:rFonts w:hint="cs"/>
          <w:b/>
          <w:bCs/>
          <w:rtl/>
        </w:rPr>
        <w:t>مجلس</w:t>
      </w:r>
      <w:r w:rsidRPr="009D647D">
        <w:rPr>
          <w:b/>
          <w:bCs/>
          <w:rtl/>
        </w:rPr>
        <w:t xml:space="preserve"> </w:t>
      </w:r>
      <w:r w:rsidRPr="009D647D">
        <w:rPr>
          <w:rFonts w:hint="cs"/>
          <w:b/>
          <w:bCs/>
          <w:rtl/>
        </w:rPr>
        <w:t>وسائط</w:t>
      </w:r>
      <w:r w:rsidRPr="009D647D">
        <w:rPr>
          <w:b/>
          <w:bCs/>
          <w:rtl/>
        </w:rPr>
        <w:t xml:space="preserve"> </w:t>
      </w:r>
      <w:r w:rsidRPr="009D647D">
        <w:rPr>
          <w:rFonts w:hint="cs"/>
          <w:b/>
          <w:bCs/>
          <w:rtl/>
        </w:rPr>
        <w:t>الإعلام</w:t>
      </w:r>
      <w:r w:rsidRPr="009D647D">
        <w:rPr>
          <w:b/>
          <w:bCs/>
          <w:rtl/>
        </w:rPr>
        <w:t xml:space="preserve"> </w:t>
      </w:r>
      <w:r w:rsidRPr="009D647D">
        <w:rPr>
          <w:rFonts w:hint="cs"/>
          <w:b/>
          <w:bCs/>
          <w:rtl/>
        </w:rPr>
        <w:t>الإلكترونية</w:t>
      </w:r>
      <w:r w:rsidRPr="009D647D">
        <w:rPr>
          <w:b/>
          <w:bCs/>
          <w:rtl/>
        </w:rPr>
        <w:t xml:space="preserve"> </w:t>
      </w:r>
      <w:r w:rsidRPr="009D647D">
        <w:rPr>
          <w:rFonts w:hint="cs"/>
          <w:b/>
          <w:bCs/>
          <w:rtl/>
        </w:rPr>
        <w:t>على</w:t>
      </w:r>
      <w:r w:rsidRPr="009D647D">
        <w:rPr>
          <w:b/>
          <w:bCs/>
          <w:rtl/>
        </w:rPr>
        <w:t xml:space="preserve"> </w:t>
      </w:r>
      <w:r w:rsidRPr="009D647D">
        <w:rPr>
          <w:rFonts w:hint="cs"/>
          <w:b/>
          <w:bCs/>
          <w:rtl/>
        </w:rPr>
        <w:t>منع</w:t>
      </w:r>
      <w:r w:rsidRPr="009D647D">
        <w:rPr>
          <w:b/>
          <w:bCs/>
          <w:rtl/>
        </w:rPr>
        <w:t xml:space="preserve"> </w:t>
      </w:r>
      <w:r w:rsidRPr="009D647D">
        <w:rPr>
          <w:rFonts w:hint="cs"/>
          <w:b/>
          <w:bCs/>
          <w:rtl/>
        </w:rPr>
        <w:t>وردع</w:t>
      </w:r>
      <w:r w:rsidRPr="009D647D">
        <w:rPr>
          <w:b/>
          <w:bCs/>
          <w:rtl/>
        </w:rPr>
        <w:t xml:space="preserve"> </w:t>
      </w:r>
      <w:r w:rsidRPr="009D647D">
        <w:rPr>
          <w:rFonts w:hint="cs"/>
          <w:b/>
          <w:bCs/>
          <w:rtl/>
        </w:rPr>
        <w:t>ومعاقبة</w:t>
      </w:r>
      <w:r w:rsidRPr="009D647D">
        <w:rPr>
          <w:b/>
          <w:bCs/>
          <w:rtl/>
        </w:rPr>
        <w:t xml:space="preserve"> </w:t>
      </w:r>
      <w:r w:rsidRPr="009D647D">
        <w:rPr>
          <w:rFonts w:hint="cs"/>
          <w:b/>
          <w:bCs/>
          <w:rtl/>
        </w:rPr>
        <w:t>أي</w:t>
      </w:r>
      <w:r w:rsidRPr="009D647D">
        <w:rPr>
          <w:b/>
          <w:bCs/>
          <w:rtl/>
        </w:rPr>
        <w:t xml:space="preserve"> </w:t>
      </w:r>
      <w:r w:rsidRPr="009D647D">
        <w:rPr>
          <w:rFonts w:hint="cs"/>
          <w:b/>
          <w:bCs/>
          <w:rtl/>
        </w:rPr>
        <w:t>مظهر</w:t>
      </w:r>
      <w:r w:rsidRPr="009D647D">
        <w:rPr>
          <w:b/>
          <w:bCs/>
          <w:rtl/>
        </w:rPr>
        <w:t xml:space="preserve"> </w:t>
      </w:r>
      <w:r w:rsidRPr="009D647D">
        <w:rPr>
          <w:rFonts w:hint="cs"/>
          <w:b/>
          <w:bCs/>
          <w:rtl/>
        </w:rPr>
        <w:t>من</w:t>
      </w:r>
      <w:r w:rsidRPr="009D647D">
        <w:rPr>
          <w:b/>
          <w:bCs/>
          <w:rtl/>
        </w:rPr>
        <w:t xml:space="preserve"> </w:t>
      </w:r>
      <w:r w:rsidRPr="009D647D">
        <w:rPr>
          <w:rFonts w:hint="cs"/>
          <w:b/>
          <w:bCs/>
          <w:rtl/>
        </w:rPr>
        <w:t>مظاهر</w:t>
      </w:r>
      <w:r w:rsidRPr="009D647D">
        <w:rPr>
          <w:b/>
          <w:bCs/>
          <w:rtl/>
        </w:rPr>
        <w:t xml:space="preserve"> </w:t>
      </w:r>
      <w:r w:rsidRPr="009D647D">
        <w:rPr>
          <w:rFonts w:hint="cs"/>
          <w:b/>
          <w:bCs/>
          <w:rtl/>
        </w:rPr>
        <w:t>العنصرية</w:t>
      </w:r>
      <w:r w:rsidRPr="009D647D">
        <w:rPr>
          <w:b/>
          <w:bCs/>
          <w:rtl/>
        </w:rPr>
        <w:t xml:space="preserve"> </w:t>
      </w:r>
      <w:r w:rsidRPr="009D647D">
        <w:rPr>
          <w:rFonts w:hint="cs"/>
          <w:b/>
          <w:bCs/>
          <w:rtl/>
        </w:rPr>
        <w:t>في</w:t>
      </w:r>
      <w:r w:rsidRPr="009D647D">
        <w:rPr>
          <w:b/>
          <w:bCs/>
          <w:rtl/>
        </w:rPr>
        <w:t xml:space="preserve"> </w:t>
      </w:r>
      <w:r w:rsidRPr="009D647D">
        <w:rPr>
          <w:rFonts w:hint="cs"/>
          <w:b/>
          <w:bCs/>
          <w:rtl/>
        </w:rPr>
        <w:t>وسائط</w:t>
      </w:r>
      <w:r w:rsidRPr="009D647D">
        <w:rPr>
          <w:b/>
          <w:bCs/>
          <w:rtl/>
        </w:rPr>
        <w:t xml:space="preserve"> </w:t>
      </w:r>
      <w:r w:rsidRPr="009D647D">
        <w:rPr>
          <w:rFonts w:hint="cs"/>
          <w:b/>
          <w:bCs/>
          <w:rtl/>
        </w:rPr>
        <w:t>الإعلام</w:t>
      </w:r>
      <w:r w:rsidRPr="009D647D">
        <w:rPr>
          <w:b/>
          <w:bCs/>
          <w:rtl/>
        </w:rPr>
        <w:t>.</w:t>
      </w:r>
      <w:bookmarkStart w:id="8" w:name="_Toc483922860"/>
    </w:p>
    <w:p w:rsidR="00FC3308" w:rsidRPr="009D647D" w:rsidRDefault="00FC3308" w:rsidP="00FC3308">
      <w:pPr>
        <w:pStyle w:val="H23GA"/>
        <w:rPr>
          <w:rtl/>
        </w:rPr>
      </w:pPr>
      <w:r w:rsidRPr="009D647D">
        <w:rPr>
          <w:rFonts w:hint="cs"/>
          <w:rtl/>
        </w:rPr>
        <w:tab/>
      </w:r>
      <w:r w:rsidRPr="009D647D">
        <w:rPr>
          <w:rFonts w:hint="cs"/>
          <w:rtl/>
        </w:rPr>
        <w:tab/>
      </w:r>
      <w:r w:rsidRPr="009D647D">
        <w:rPr>
          <w:rtl/>
        </w:rPr>
        <w:t>نظام العدالة الجنائية</w:t>
      </w:r>
      <w:bookmarkEnd w:id="8"/>
    </w:p>
    <w:p w:rsidR="00FC3308" w:rsidRPr="009D647D" w:rsidRDefault="00FC3308" w:rsidP="00FC3308">
      <w:pPr>
        <w:pStyle w:val="SingleTxtGA"/>
        <w:rPr>
          <w:rtl/>
        </w:rPr>
      </w:pPr>
      <w:r w:rsidRPr="009D647D">
        <w:rPr>
          <w:rtl/>
        </w:rPr>
        <w:t>13-</w:t>
      </w:r>
      <w:r w:rsidRPr="009D647D">
        <w:rPr>
          <w:rtl/>
        </w:rPr>
        <w:tab/>
        <w:t xml:space="preserve">تأسف اللجنة للتطبيق المحدود للمادة 162(2) من القانون الجنائي، ضمن مواد أخرى تتناول الجرائم العنصرية، من جانب موظفي إنفاذ القانون، ولانخفاض معدل الإدانة على الجرائم العنصرية، رغم </w:t>
      </w:r>
      <w:r w:rsidRPr="009D647D">
        <w:rPr>
          <w:rFonts w:hint="cs"/>
          <w:rtl/>
        </w:rPr>
        <w:t xml:space="preserve">ما ذكر عن </w:t>
      </w:r>
      <w:r w:rsidRPr="009D647D">
        <w:rPr>
          <w:rtl/>
        </w:rPr>
        <w:t xml:space="preserve">زيادة هذه الجرائم خلال الفترة المشمولة بالتقرير. وتلاحظ اللجنة بقلق التناقض الظاهر </w:t>
      </w:r>
      <w:r w:rsidRPr="009D647D">
        <w:rPr>
          <w:rFonts w:hint="cs"/>
          <w:rtl/>
        </w:rPr>
        <w:t xml:space="preserve">بين </w:t>
      </w:r>
      <w:r w:rsidRPr="009D647D">
        <w:rPr>
          <w:rtl/>
        </w:rPr>
        <w:t xml:space="preserve">الإحصاءات التي قدمتها الدولة الطرف وتلك التي أتاحتها المنظمات الدولية بشأن </w:t>
      </w:r>
      <w:r w:rsidRPr="009D647D">
        <w:rPr>
          <w:rFonts w:hint="cs"/>
          <w:rtl/>
        </w:rPr>
        <w:t xml:space="preserve">الإبلاغ عن </w:t>
      </w:r>
      <w:r w:rsidRPr="009D647D">
        <w:rPr>
          <w:rtl/>
        </w:rPr>
        <w:t>جرائم الكراهية</w:t>
      </w:r>
      <w:r w:rsidRPr="009D647D" w:rsidDel="00BB0B8D">
        <w:rPr>
          <w:rtl/>
        </w:rPr>
        <w:t xml:space="preserve"> </w:t>
      </w:r>
      <w:r w:rsidRPr="009D647D">
        <w:rPr>
          <w:rtl/>
        </w:rPr>
        <w:t xml:space="preserve">ومقاضاة ومعاقبة </w:t>
      </w:r>
      <w:r w:rsidRPr="009D647D">
        <w:rPr>
          <w:rFonts w:hint="cs"/>
          <w:rtl/>
        </w:rPr>
        <w:t xml:space="preserve">مرتكبيها </w:t>
      </w:r>
      <w:r w:rsidRPr="009D647D">
        <w:rPr>
          <w:rtl/>
        </w:rPr>
        <w:t>(المواد 1، و2، و4).</w:t>
      </w:r>
    </w:p>
    <w:p w:rsidR="00FC3308" w:rsidRPr="009D647D" w:rsidRDefault="00FC3308" w:rsidP="006102AD">
      <w:pPr>
        <w:pStyle w:val="SingleTxtGA"/>
        <w:rPr>
          <w:b/>
          <w:bCs/>
          <w:rtl/>
        </w:rPr>
      </w:pPr>
      <w:r w:rsidRPr="009D647D">
        <w:rPr>
          <w:rtl/>
        </w:rPr>
        <w:t>14-</w:t>
      </w:r>
      <w:r w:rsidRPr="009D647D">
        <w:rPr>
          <w:rtl/>
        </w:rPr>
        <w:tab/>
      </w:r>
      <w:r w:rsidRPr="009D647D">
        <w:rPr>
          <w:b/>
          <w:bCs/>
          <w:rtl/>
        </w:rPr>
        <w:t>تذكّر اللجنة بأن تنفيذ الأحكام الواردة في المادة 4 من الاتفاقية إلزامي. ولا</w:t>
      </w:r>
      <w:r w:rsidR="006102AD">
        <w:rPr>
          <w:rFonts w:hint="cs"/>
          <w:b/>
          <w:bCs/>
          <w:rtl/>
        </w:rPr>
        <w:t> </w:t>
      </w:r>
      <w:r w:rsidRPr="009D647D">
        <w:rPr>
          <w:b/>
          <w:bCs/>
          <w:rtl/>
        </w:rPr>
        <w:t>يتعين على الدول الأطراف أن تسن تشريعات مناسبة فحسب، بل أن تكفل أيضا</w:t>
      </w:r>
      <w:r>
        <w:rPr>
          <w:b/>
          <w:bCs/>
          <w:rtl/>
        </w:rPr>
        <w:t>ً</w:t>
      </w:r>
      <w:r w:rsidRPr="009D647D">
        <w:rPr>
          <w:b/>
          <w:bCs/>
          <w:rtl/>
        </w:rPr>
        <w:t xml:space="preserve"> تنفيذ هذه التشريعات تنفيذا</w:t>
      </w:r>
      <w:r>
        <w:rPr>
          <w:b/>
          <w:bCs/>
          <w:rtl/>
        </w:rPr>
        <w:t>ً</w:t>
      </w:r>
      <w:r w:rsidRPr="009D647D">
        <w:rPr>
          <w:b/>
          <w:bCs/>
          <w:rtl/>
        </w:rPr>
        <w:t xml:space="preserve"> فعالا</w:t>
      </w:r>
      <w:r>
        <w:rPr>
          <w:b/>
          <w:bCs/>
          <w:rtl/>
        </w:rPr>
        <w:t>ً</w:t>
      </w:r>
      <w:r w:rsidRPr="009D647D">
        <w:rPr>
          <w:b/>
          <w:bCs/>
          <w:rtl/>
        </w:rPr>
        <w:t>. وت</w:t>
      </w:r>
      <w:r w:rsidRPr="009D647D">
        <w:rPr>
          <w:rFonts w:hint="cs"/>
          <w:b/>
          <w:bCs/>
          <w:rtl/>
        </w:rPr>
        <w:t>ُ</w:t>
      </w:r>
      <w:r w:rsidRPr="009D647D">
        <w:rPr>
          <w:b/>
          <w:bCs/>
          <w:rtl/>
        </w:rPr>
        <w:t xml:space="preserve">ذكّر </w:t>
      </w:r>
      <w:r w:rsidRPr="009D647D">
        <w:rPr>
          <w:rFonts w:hint="cs"/>
          <w:b/>
          <w:bCs/>
          <w:rtl/>
        </w:rPr>
        <w:t xml:space="preserve">اللجنة </w:t>
      </w:r>
      <w:r w:rsidRPr="009D647D">
        <w:rPr>
          <w:b/>
          <w:bCs/>
          <w:rtl/>
        </w:rPr>
        <w:t>بتوصيتيها العامتين رقم 26(2000) بشأن المادة 6 من الاتفاقية ورقم 31(2005) بشأن منع التمييز العنصري في إدارة وعمل نظام القضاء الجنائي، وتوصي الدولة الطرف بما يلي:</w:t>
      </w:r>
    </w:p>
    <w:p w:rsidR="00FC3308" w:rsidRPr="009D647D" w:rsidRDefault="00FC3308" w:rsidP="00FC3308">
      <w:pPr>
        <w:pStyle w:val="SingleTxtGA"/>
        <w:rPr>
          <w:b/>
          <w:bCs/>
          <w:rtl/>
        </w:rPr>
      </w:pPr>
      <w:r w:rsidRPr="009D647D">
        <w:rPr>
          <w:rtl/>
        </w:rPr>
        <w:tab/>
        <w:t>(أ)</w:t>
      </w:r>
      <w:r w:rsidRPr="009D647D">
        <w:rPr>
          <w:rtl/>
        </w:rPr>
        <w:tab/>
      </w:r>
      <w:r w:rsidRPr="009D647D">
        <w:rPr>
          <w:b/>
          <w:bCs/>
          <w:rtl/>
        </w:rPr>
        <w:t>تنظيم حملات لشحذ الوعي في أوساط عامة الجمهور بوجود أحكام في القانون الجنائي تعاقب على الأفعال المرتكبة بد</w:t>
      </w:r>
      <w:r w:rsidRPr="009D647D">
        <w:rPr>
          <w:rFonts w:hint="cs"/>
          <w:b/>
          <w:bCs/>
          <w:rtl/>
        </w:rPr>
        <w:t>و</w:t>
      </w:r>
      <w:r w:rsidRPr="009D647D">
        <w:rPr>
          <w:b/>
          <w:bCs/>
          <w:rtl/>
        </w:rPr>
        <w:t>افع عنصري</w:t>
      </w:r>
      <w:r w:rsidRPr="009D647D">
        <w:rPr>
          <w:rFonts w:hint="cs"/>
          <w:b/>
          <w:bCs/>
          <w:rtl/>
        </w:rPr>
        <w:t>ة</w:t>
      </w:r>
      <w:r w:rsidRPr="009D647D">
        <w:rPr>
          <w:b/>
          <w:bCs/>
          <w:rtl/>
        </w:rPr>
        <w:t>، وتشجيع ضحايا هذه الأفعال على رفع شكاوى بشأنها؛</w:t>
      </w:r>
    </w:p>
    <w:p w:rsidR="00FC3308" w:rsidRPr="009D647D" w:rsidRDefault="00FC3308" w:rsidP="00FC3308">
      <w:pPr>
        <w:pStyle w:val="SingleTxtGA"/>
        <w:rPr>
          <w:b/>
          <w:bCs/>
          <w:rtl/>
        </w:rPr>
      </w:pPr>
      <w:r w:rsidRPr="009D647D">
        <w:rPr>
          <w:rtl/>
        </w:rPr>
        <w:lastRenderedPageBreak/>
        <w:tab/>
        <w:t>(ب)</w:t>
      </w:r>
      <w:r w:rsidRPr="009D647D">
        <w:rPr>
          <w:rtl/>
        </w:rPr>
        <w:tab/>
      </w:r>
      <w:r w:rsidRPr="009D647D">
        <w:rPr>
          <w:b/>
          <w:bCs/>
          <w:rtl/>
        </w:rPr>
        <w:t>تكثيف جهودها الرامية إلى تحسين الوصول إلى العدالة وسير النظام القضائي، بما في ذلك تكثيف تدريب أفراد الشرطة، والمدعين العامين، والقضاة، و</w:t>
      </w:r>
      <w:r w:rsidRPr="009D647D">
        <w:rPr>
          <w:rFonts w:hint="cs"/>
          <w:b/>
          <w:bCs/>
          <w:rtl/>
        </w:rPr>
        <w:t xml:space="preserve">غيرهم من </w:t>
      </w:r>
      <w:r w:rsidRPr="009D647D">
        <w:rPr>
          <w:b/>
          <w:bCs/>
          <w:rtl/>
        </w:rPr>
        <w:t>المهنيين العاملين في النظام القضائي، على أهمية مقاضاة مرتكبي الأعمال العنصرية، وتطبيق القوانين على الجرائم العنصرية؛</w:t>
      </w:r>
    </w:p>
    <w:p w:rsidR="00FC3308" w:rsidRPr="009D647D" w:rsidRDefault="00FC3308" w:rsidP="00FC3308">
      <w:pPr>
        <w:pStyle w:val="SingleTxtGA"/>
        <w:rPr>
          <w:b/>
          <w:bCs/>
          <w:rtl/>
        </w:rPr>
      </w:pPr>
      <w:r w:rsidRPr="009D647D">
        <w:rPr>
          <w:rtl/>
        </w:rPr>
        <w:tab/>
        <w:t>(ج)</w:t>
      </w:r>
      <w:r w:rsidRPr="009D647D">
        <w:rPr>
          <w:rtl/>
        </w:rPr>
        <w:tab/>
      </w:r>
      <w:r w:rsidRPr="009D647D">
        <w:rPr>
          <w:b/>
          <w:bCs/>
          <w:rtl/>
        </w:rPr>
        <w:t xml:space="preserve">النظر في تعيين مدعين خاصين لمواجهة خطاب الكراهية وجرائم الكراهية بغية زيادة معدل الإبلاغ </w:t>
      </w:r>
      <w:r w:rsidRPr="009D647D">
        <w:rPr>
          <w:rFonts w:hint="cs"/>
          <w:b/>
          <w:bCs/>
          <w:rtl/>
        </w:rPr>
        <w:t xml:space="preserve">عن </w:t>
      </w:r>
      <w:r w:rsidRPr="009D647D">
        <w:rPr>
          <w:b/>
          <w:bCs/>
          <w:rtl/>
        </w:rPr>
        <w:t>هذه الجرائم، وتطبيق الأحكام الجنائية ذات الصلة؛</w:t>
      </w:r>
    </w:p>
    <w:p w:rsidR="00FC3308" w:rsidRPr="009D647D" w:rsidRDefault="00FC3308" w:rsidP="00FC3308">
      <w:pPr>
        <w:pStyle w:val="SingleTxtGA"/>
        <w:rPr>
          <w:b/>
          <w:bCs/>
          <w:rtl/>
        </w:rPr>
      </w:pPr>
      <w:r w:rsidRPr="009D647D">
        <w:rPr>
          <w:rtl/>
        </w:rPr>
        <w:tab/>
        <w:t>(د)</w:t>
      </w:r>
      <w:r w:rsidRPr="009D647D">
        <w:rPr>
          <w:rtl/>
        </w:rPr>
        <w:tab/>
      </w:r>
      <w:r w:rsidRPr="009D647D">
        <w:rPr>
          <w:b/>
          <w:bCs/>
          <w:rtl/>
        </w:rPr>
        <w:t>إتاحة معلومات محدثة عن تطبيق المحاكم أحكام</w:t>
      </w:r>
      <w:r w:rsidRPr="009D647D">
        <w:rPr>
          <w:rFonts w:hint="cs"/>
          <w:b/>
          <w:bCs/>
          <w:rtl/>
        </w:rPr>
        <w:t>َ</w:t>
      </w:r>
      <w:r w:rsidRPr="009D647D">
        <w:rPr>
          <w:b/>
          <w:bCs/>
          <w:rtl/>
        </w:rPr>
        <w:t xml:space="preserve"> مكافحة التمييز، وبيانات إحصائية عن عدد وطبيعة الجرائم المبلغ بها، والملاحقات القضائية، والإدانات، والعقوبات التي فرضت على مرتكبيها، مصنفة حسب عمر</w:t>
      </w:r>
      <w:r w:rsidRPr="009D647D">
        <w:rPr>
          <w:rFonts w:hint="cs"/>
          <w:b/>
          <w:bCs/>
          <w:rtl/>
        </w:rPr>
        <w:t xml:space="preserve"> الضحايا</w:t>
      </w:r>
      <w:r w:rsidRPr="009D647D">
        <w:rPr>
          <w:b/>
          <w:bCs/>
          <w:rtl/>
        </w:rPr>
        <w:t>، و</w:t>
      </w:r>
      <w:r w:rsidRPr="009D647D">
        <w:rPr>
          <w:rFonts w:hint="cs"/>
          <w:b/>
          <w:bCs/>
          <w:rtl/>
        </w:rPr>
        <w:t xml:space="preserve">نوع </w:t>
      </w:r>
      <w:r w:rsidRPr="009D647D">
        <w:rPr>
          <w:b/>
          <w:bCs/>
          <w:rtl/>
        </w:rPr>
        <w:t>جنس</w:t>
      </w:r>
      <w:r w:rsidRPr="009D647D">
        <w:rPr>
          <w:rFonts w:hint="cs"/>
          <w:b/>
          <w:bCs/>
          <w:rtl/>
        </w:rPr>
        <w:t>هم</w:t>
      </w:r>
      <w:r w:rsidRPr="009D647D">
        <w:rPr>
          <w:b/>
          <w:bCs/>
          <w:rtl/>
        </w:rPr>
        <w:t>، وأصل</w:t>
      </w:r>
      <w:r w:rsidRPr="009D647D">
        <w:rPr>
          <w:rFonts w:hint="cs"/>
          <w:b/>
          <w:bCs/>
          <w:rtl/>
        </w:rPr>
        <w:t>هم</w:t>
      </w:r>
      <w:r w:rsidRPr="009D647D">
        <w:rPr>
          <w:b/>
          <w:bCs/>
          <w:rtl/>
        </w:rPr>
        <w:t xml:space="preserve"> القومي أو الإثني</w:t>
      </w:r>
      <w:r w:rsidRPr="009D647D">
        <w:rPr>
          <w:rFonts w:hint="cs"/>
          <w:b/>
          <w:bCs/>
          <w:rtl/>
        </w:rPr>
        <w:t>، ووضعهم من حيث الهجرة</w:t>
      </w:r>
      <w:r w:rsidRPr="009D647D">
        <w:rPr>
          <w:b/>
          <w:bCs/>
          <w:rtl/>
        </w:rPr>
        <w:t>.</w:t>
      </w:r>
      <w:bookmarkStart w:id="9" w:name="_Toc483922861"/>
    </w:p>
    <w:p w:rsidR="00FC3308" w:rsidRPr="009D647D" w:rsidRDefault="00FC3308" w:rsidP="00FC3308">
      <w:pPr>
        <w:pStyle w:val="H23GA"/>
        <w:rPr>
          <w:rtl/>
        </w:rPr>
      </w:pPr>
      <w:r w:rsidRPr="009D647D">
        <w:rPr>
          <w:rFonts w:hint="cs"/>
          <w:rtl/>
        </w:rPr>
        <w:tab/>
      </w:r>
      <w:r w:rsidRPr="009D647D">
        <w:rPr>
          <w:rFonts w:hint="cs"/>
          <w:rtl/>
        </w:rPr>
        <w:tab/>
      </w:r>
      <w:r w:rsidRPr="009D647D">
        <w:rPr>
          <w:rtl/>
        </w:rPr>
        <w:t>المسؤولية المدنية والإدارية</w:t>
      </w:r>
      <w:bookmarkEnd w:id="9"/>
    </w:p>
    <w:p w:rsidR="00FC3308" w:rsidRPr="009D647D" w:rsidRDefault="00FC3308" w:rsidP="00FC3308">
      <w:pPr>
        <w:pStyle w:val="SingleTxtGA"/>
        <w:rPr>
          <w:rtl/>
        </w:rPr>
      </w:pPr>
      <w:r w:rsidRPr="009D647D">
        <w:rPr>
          <w:rtl/>
        </w:rPr>
        <w:t>15-</w:t>
      </w:r>
      <w:r w:rsidRPr="009D647D">
        <w:rPr>
          <w:rtl/>
        </w:rPr>
        <w:tab/>
        <w:t>تلاحظ اللجنة أن تطبيق القانون الجنائي لا يزال أمرا</w:t>
      </w:r>
      <w:r>
        <w:rPr>
          <w:rtl/>
        </w:rPr>
        <w:t>ً</w:t>
      </w:r>
      <w:r w:rsidRPr="009D647D">
        <w:rPr>
          <w:rtl/>
        </w:rPr>
        <w:t xml:space="preserve"> أساسيا</w:t>
      </w:r>
      <w:r>
        <w:rPr>
          <w:rtl/>
        </w:rPr>
        <w:t>ً</w:t>
      </w:r>
      <w:r w:rsidRPr="009D647D">
        <w:rPr>
          <w:rtl/>
        </w:rPr>
        <w:t xml:space="preserve"> في مكافحة التمييز العنصري، لكنها تعرب عن قلقها إزاء عدم وجود معلومات شاملة بشأن صكوك المسؤولية المدنية والإدارية، التي تعتبر بدورها أساسية لتعزيز منع التمييز العنصري، ولجوء الضحايا فعليا</w:t>
      </w:r>
      <w:r>
        <w:rPr>
          <w:rtl/>
        </w:rPr>
        <w:t>ً</w:t>
      </w:r>
      <w:r w:rsidRPr="009D647D">
        <w:rPr>
          <w:rtl/>
        </w:rPr>
        <w:t xml:space="preserve"> إلى العدالة (المواد 1، و2، و4).</w:t>
      </w:r>
    </w:p>
    <w:p w:rsidR="00FC3308" w:rsidRPr="009D647D" w:rsidRDefault="00FC3308" w:rsidP="00FC3308">
      <w:pPr>
        <w:pStyle w:val="SingleTxtGA"/>
        <w:rPr>
          <w:b/>
          <w:bCs/>
          <w:rtl/>
        </w:rPr>
      </w:pPr>
      <w:r w:rsidRPr="009D647D">
        <w:rPr>
          <w:rtl/>
        </w:rPr>
        <w:t>16-</w:t>
      </w:r>
      <w:r w:rsidRPr="009D647D">
        <w:rPr>
          <w:rtl/>
        </w:rPr>
        <w:tab/>
      </w:r>
      <w:r w:rsidRPr="009D647D">
        <w:rPr>
          <w:b/>
          <w:bCs/>
          <w:rtl/>
        </w:rPr>
        <w:t xml:space="preserve">توصي اللجنة الدولة الطرف بأن تدرج في تقريرها الدوري المقبل معلومات عن جميع الصكوك التي تحدد المسؤولية المدنية، والعمالية، والإدارية عن أفعال التمييز العنصري، </w:t>
      </w:r>
      <w:r w:rsidRPr="009D647D">
        <w:rPr>
          <w:rFonts w:hint="cs"/>
          <w:b/>
          <w:bCs/>
          <w:rtl/>
        </w:rPr>
        <w:t>و</w:t>
      </w:r>
      <w:r w:rsidRPr="009D647D">
        <w:rPr>
          <w:b/>
          <w:bCs/>
          <w:rtl/>
        </w:rPr>
        <w:t>بيانات متعلقة بالإجراءات الإدارية والعقوبات الصادرة عن الهيئات المختصة.</w:t>
      </w:r>
      <w:bookmarkStart w:id="10" w:name="_Toc483922862"/>
    </w:p>
    <w:p w:rsidR="00FC3308" w:rsidRPr="009D647D" w:rsidRDefault="00FC3308" w:rsidP="00FC3308">
      <w:pPr>
        <w:pStyle w:val="H23GA"/>
        <w:rPr>
          <w:rtl/>
        </w:rPr>
      </w:pPr>
      <w:r w:rsidRPr="009D647D">
        <w:rPr>
          <w:rFonts w:hint="cs"/>
          <w:rtl/>
        </w:rPr>
        <w:tab/>
      </w:r>
      <w:r w:rsidRPr="009D647D">
        <w:rPr>
          <w:rFonts w:hint="cs"/>
          <w:rtl/>
        </w:rPr>
        <w:tab/>
      </w:r>
      <w:r w:rsidRPr="009D647D">
        <w:rPr>
          <w:rtl/>
        </w:rPr>
        <w:t>المشاركة السياسية للأقليات</w:t>
      </w:r>
      <w:bookmarkEnd w:id="10"/>
    </w:p>
    <w:p w:rsidR="00FC3308" w:rsidRPr="009D647D" w:rsidRDefault="00FC3308" w:rsidP="00FC3308">
      <w:pPr>
        <w:pStyle w:val="SingleTxtGA"/>
        <w:rPr>
          <w:rtl/>
        </w:rPr>
      </w:pPr>
      <w:r w:rsidRPr="009D647D">
        <w:rPr>
          <w:rtl/>
        </w:rPr>
        <w:t>17-</w:t>
      </w:r>
      <w:r w:rsidRPr="009D647D">
        <w:rPr>
          <w:rtl/>
        </w:rPr>
        <w:tab/>
        <w:t>تأسف اللجنة لعدم وجود بيانات إحصائية عن التمثيل السياسي للمجموعات ال</w:t>
      </w:r>
      <w:r w:rsidRPr="009D647D">
        <w:rPr>
          <w:rFonts w:hint="cs"/>
          <w:rtl/>
        </w:rPr>
        <w:t>إثنية</w:t>
      </w:r>
      <w:r w:rsidRPr="009D647D">
        <w:rPr>
          <w:rtl/>
        </w:rPr>
        <w:t>، ومجموعات الأقليات في الدولة الطرف، وتشعر بالقلق إزاء قلة تمثيل الأقليات في البرلمان وفي المناصب العامة (المادتان 2، و5).</w:t>
      </w:r>
    </w:p>
    <w:p w:rsidR="00FC3308" w:rsidRPr="009D647D" w:rsidRDefault="00FC3308" w:rsidP="00FC3308">
      <w:pPr>
        <w:pStyle w:val="SingleTxtGA"/>
        <w:rPr>
          <w:b/>
          <w:bCs/>
          <w:rtl/>
        </w:rPr>
      </w:pPr>
      <w:r w:rsidRPr="009D647D">
        <w:rPr>
          <w:rtl/>
        </w:rPr>
        <w:t>18-</w:t>
      </w:r>
      <w:r w:rsidRPr="009D647D">
        <w:rPr>
          <w:rtl/>
        </w:rPr>
        <w:tab/>
      </w:r>
      <w:r w:rsidRPr="009D647D">
        <w:rPr>
          <w:b/>
          <w:bCs/>
          <w:rtl/>
        </w:rPr>
        <w:t xml:space="preserve">توصي اللجنة الدولة الطرف بتقديم بيانات إحصائية في تقريرها الدوري المقبل بشأن تمثيل الأقليات في البرلمان وفي المناصب العامة. </w:t>
      </w:r>
      <w:r w:rsidRPr="009D647D">
        <w:rPr>
          <w:rFonts w:hint="cs"/>
          <w:b/>
          <w:bCs/>
          <w:rtl/>
        </w:rPr>
        <w:t>و</w:t>
      </w:r>
      <w:r w:rsidRPr="009D647D">
        <w:rPr>
          <w:b/>
          <w:bCs/>
          <w:rtl/>
        </w:rPr>
        <w:t>في ضوء توصيتها العامة رقم</w:t>
      </w:r>
      <w:r>
        <w:rPr>
          <w:rFonts w:hint="cs"/>
          <w:b/>
          <w:bCs/>
          <w:rtl/>
        </w:rPr>
        <w:t> </w:t>
      </w:r>
      <w:r w:rsidRPr="009D647D">
        <w:rPr>
          <w:b/>
          <w:bCs/>
          <w:rtl/>
        </w:rPr>
        <w:t xml:space="preserve">32(2009) بشأن معنى ونطاق التدابير الخاصة في الاتفاقية، </w:t>
      </w:r>
      <w:r w:rsidRPr="009D647D">
        <w:rPr>
          <w:rFonts w:hint="cs"/>
          <w:b/>
          <w:bCs/>
          <w:rtl/>
        </w:rPr>
        <w:t xml:space="preserve">توصي اللجنة </w:t>
      </w:r>
      <w:r w:rsidRPr="009D647D">
        <w:rPr>
          <w:b/>
          <w:bCs/>
          <w:rtl/>
        </w:rPr>
        <w:t xml:space="preserve">الدولة الطرف باتخاذ تدابير ملموسة لضمان </w:t>
      </w:r>
      <w:r w:rsidRPr="009D647D">
        <w:rPr>
          <w:rFonts w:hint="cs"/>
          <w:b/>
          <w:bCs/>
          <w:rtl/>
        </w:rPr>
        <w:t xml:space="preserve">تمثيل </w:t>
      </w:r>
      <w:r w:rsidRPr="009D647D">
        <w:rPr>
          <w:b/>
          <w:bCs/>
          <w:rtl/>
        </w:rPr>
        <w:t xml:space="preserve">الأقليات </w:t>
      </w:r>
      <w:r w:rsidRPr="009D647D">
        <w:rPr>
          <w:rFonts w:hint="cs"/>
          <w:b/>
          <w:bCs/>
          <w:rtl/>
        </w:rPr>
        <w:t xml:space="preserve">الإثنية </w:t>
      </w:r>
      <w:r w:rsidRPr="009D647D">
        <w:rPr>
          <w:b/>
          <w:bCs/>
          <w:rtl/>
        </w:rPr>
        <w:t>تمثيلا</w:t>
      </w:r>
      <w:r>
        <w:rPr>
          <w:b/>
          <w:bCs/>
          <w:rtl/>
        </w:rPr>
        <w:t>ً</w:t>
      </w:r>
      <w:r w:rsidRPr="009D647D">
        <w:rPr>
          <w:b/>
          <w:bCs/>
          <w:rtl/>
        </w:rPr>
        <w:t xml:space="preserve"> ملائما</w:t>
      </w:r>
      <w:r>
        <w:rPr>
          <w:b/>
          <w:bCs/>
          <w:rtl/>
        </w:rPr>
        <w:t>ً</w:t>
      </w:r>
      <w:r w:rsidRPr="009D647D">
        <w:rPr>
          <w:b/>
          <w:bCs/>
          <w:rtl/>
        </w:rPr>
        <w:t xml:space="preserve"> في البرلمان والخدمة المدنية.</w:t>
      </w:r>
      <w:bookmarkStart w:id="11" w:name="_Toc483922863"/>
    </w:p>
    <w:p w:rsidR="00FC3308" w:rsidRPr="009D647D" w:rsidRDefault="00FC3308" w:rsidP="00FC3308">
      <w:pPr>
        <w:pStyle w:val="H23GA"/>
        <w:rPr>
          <w:rtl/>
        </w:rPr>
      </w:pPr>
      <w:r w:rsidRPr="009D647D">
        <w:rPr>
          <w:rFonts w:hint="cs"/>
          <w:rtl/>
        </w:rPr>
        <w:tab/>
      </w:r>
      <w:r w:rsidRPr="009D647D">
        <w:rPr>
          <w:rFonts w:hint="cs"/>
          <w:rtl/>
        </w:rPr>
        <w:tab/>
      </w:r>
      <w:r w:rsidRPr="009D647D">
        <w:rPr>
          <w:rtl/>
        </w:rPr>
        <w:t>التمييز ضد الروما</w:t>
      </w:r>
      <w:bookmarkEnd w:id="11"/>
    </w:p>
    <w:p w:rsidR="00FC3308" w:rsidRPr="009D647D" w:rsidRDefault="00FC3308" w:rsidP="00FC3308">
      <w:pPr>
        <w:pStyle w:val="SingleTxtGA"/>
        <w:rPr>
          <w:rtl/>
        </w:rPr>
      </w:pPr>
      <w:r w:rsidRPr="009D647D">
        <w:rPr>
          <w:rtl/>
        </w:rPr>
        <w:t>19-</w:t>
      </w:r>
      <w:r w:rsidRPr="009D647D">
        <w:rPr>
          <w:rtl/>
        </w:rPr>
        <w:tab/>
        <w:t>تدرك اللجنة التدابير المؤسس</w:t>
      </w:r>
      <w:r w:rsidRPr="009D647D">
        <w:rPr>
          <w:rFonts w:hint="cs"/>
          <w:rtl/>
        </w:rPr>
        <w:t>ات</w:t>
      </w:r>
      <w:r w:rsidRPr="009D647D">
        <w:rPr>
          <w:rtl/>
        </w:rPr>
        <w:t>ية والسياساتية العديدة التي اعتمدتها الدولة الطرف والرامية إلى القضاء على التمييز العنصري ضد الروما. بيد أنها تشعر بالقلق إزاء استمرار تهميش الروما في جميع مناحي الحياة، بما في ذلك في الحياة العامة والسياسية، و</w:t>
      </w:r>
      <w:r w:rsidRPr="009D647D">
        <w:rPr>
          <w:rFonts w:hint="cs"/>
          <w:rtl/>
        </w:rPr>
        <w:t xml:space="preserve">إزاء </w:t>
      </w:r>
      <w:r w:rsidRPr="009D647D">
        <w:rPr>
          <w:rtl/>
        </w:rPr>
        <w:t xml:space="preserve">التحديات الخطيرة </w:t>
      </w:r>
      <w:r w:rsidRPr="009D647D">
        <w:rPr>
          <w:rtl/>
        </w:rPr>
        <w:lastRenderedPageBreak/>
        <w:t>التي يواجهون</w:t>
      </w:r>
      <w:r w:rsidRPr="009D647D">
        <w:rPr>
          <w:rFonts w:hint="cs"/>
          <w:rtl/>
        </w:rPr>
        <w:t>ها</w:t>
      </w:r>
      <w:r w:rsidRPr="009D647D">
        <w:rPr>
          <w:rtl/>
        </w:rPr>
        <w:t xml:space="preserve"> في الحصول على الخدمات الأساسية، وهو أمر يُعزى إلى قلة التمويل، وضعف تنفيذ المبادرات ذات الصلة. وتشعر اللجنة بالقلق بصفة خاصة إزاء ما يلي:</w:t>
      </w:r>
    </w:p>
    <w:p w:rsidR="00FC3308" w:rsidRPr="009D647D" w:rsidRDefault="00FC3308" w:rsidP="00FC3308">
      <w:pPr>
        <w:pStyle w:val="SingleTxtGA"/>
        <w:rPr>
          <w:rtl/>
        </w:rPr>
      </w:pPr>
      <w:r w:rsidRPr="009D647D">
        <w:rPr>
          <w:rtl/>
        </w:rPr>
        <w:tab/>
        <w:t>(أ)</w:t>
      </w:r>
      <w:r w:rsidRPr="009D647D">
        <w:rPr>
          <w:rtl/>
        </w:rPr>
        <w:tab/>
        <w:t xml:space="preserve">مدى انتشار عمليات الإخلاء القسري التي تؤثر بصورة غير متناسبة في أفراد الروما، </w:t>
      </w:r>
      <w:r w:rsidRPr="009D647D">
        <w:rPr>
          <w:rFonts w:hint="cs"/>
          <w:rtl/>
        </w:rPr>
        <w:t xml:space="preserve">الأمر الذي </w:t>
      </w:r>
      <w:r w:rsidRPr="009D647D">
        <w:rPr>
          <w:rtl/>
        </w:rPr>
        <w:t>يفضي بهم إلى التشرد؛</w:t>
      </w:r>
    </w:p>
    <w:p w:rsidR="00FC3308" w:rsidRPr="009D647D" w:rsidRDefault="00FC3308" w:rsidP="00FC3308">
      <w:pPr>
        <w:pStyle w:val="SingleTxtGA"/>
        <w:rPr>
          <w:rtl/>
        </w:rPr>
      </w:pPr>
      <w:r w:rsidRPr="009D647D">
        <w:rPr>
          <w:rtl/>
        </w:rPr>
        <w:tab/>
        <w:t>(ب)</w:t>
      </w:r>
      <w:r w:rsidRPr="009D647D">
        <w:rPr>
          <w:rtl/>
        </w:rPr>
        <w:tab/>
        <w:t>استمرار الفصل بحكم الواقع في مجال التعليم، إلى جانب محدودية الوصول إلى التعليم ال</w:t>
      </w:r>
      <w:r w:rsidRPr="009D647D">
        <w:rPr>
          <w:rFonts w:hint="cs"/>
          <w:rtl/>
        </w:rPr>
        <w:t>نظام</w:t>
      </w:r>
      <w:r w:rsidRPr="009D647D">
        <w:rPr>
          <w:rtl/>
        </w:rPr>
        <w:t xml:space="preserve">ي، لا سيما في </w:t>
      </w:r>
      <w:r w:rsidRPr="009D647D">
        <w:rPr>
          <w:rFonts w:hint="cs"/>
          <w:rtl/>
        </w:rPr>
        <w:t>ال</w:t>
      </w:r>
      <w:r w:rsidRPr="009D647D">
        <w:rPr>
          <w:rtl/>
        </w:rPr>
        <w:t>مرحلة ما قبل ال</w:t>
      </w:r>
      <w:r w:rsidRPr="009D647D">
        <w:rPr>
          <w:rFonts w:hint="cs"/>
          <w:rtl/>
        </w:rPr>
        <w:t>م</w:t>
      </w:r>
      <w:r w:rsidRPr="009D647D">
        <w:rPr>
          <w:rtl/>
        </w:rPr>
        <w:t>درس</w:t>
      </w:r>
      <w:r w:rsidRPr="009D647D">
        <w:rPr>
          <w:rFonts w:hint="cs"/>
          <w:rtl/>
        </w:rPr>
        <w:t>ي</w:t>
      </w:r>
      <w:r w:rsidRPr="009D647D">
        <w:rPr>
          <w:rtl/>
        </w:rPr>
        <w:t>ة، وارتفاع معدلات الانقطاع عن الدراسة، بما في ذلك على مستوى المدارس الابتدائية؛</w:t>
      </w:r>
    </w:p>
    <w:p w:rsidR="00FC3308" w:rsidRPr="009D647D" w:rsidRDefault="00FC3308" w:rsidP="00FC3308">
      <w:pPr>
        <w:pStyle w:val="SingleTxtGA"/>
        <w:rPr>
          <w:rtl/>
        </w:rPr>
      </w:pPr>
      <w:r w:rsidRPr="009D647D">
        <w:rPr>
          <w:rtl/>
        </w:rPr>
        <w:tab/>
        <w:t>(ج)</w:t>
      </w:r>
      <w:r w:rsidRPr="009D647D">
        <w:rPr>
          <w:rtl/>
        </w:rPr>
        <w:tab/>
        <w:t>ارتفاع مستوى البطالة في صفوف الروما و</w:t>
      </w:r>
      <w:r w:rsidRPr="009D647D">
        <w:rPr>
          <w:rFonts w:hint="cs"/>
          <w:rtl/>
        </w:rPr>
        <w:t xml:space="preserve">تركزهم </w:t>
      </w:r>
      <w:r w:rsidRPr="009D647D">
        <w:rPr>
          <w:rtl/>
        </w:rPr>
        <w:t>في المهن المنخفضة الدخل؛</w:t>
      </w:r>
    </w:p>
    <w:p w:rsidR="00FC3308" w:rsidRPr="009D647D" w:rsidRDefault="00FC3308" w:rsidP="00FC3308">
      <w:pPr>
        <w:pStyle w:val="SingleTxtGA"/>
        <w:rPr>
          <w:rtl/>
        </w:rPr>
      </w:pPr>
      <w:r w:rsidRPr="009D647D">
        <w:rPr>
          <w:rtl/>
        </w:rPr>
        <w:tab/>
        <w:t>(د)</w:t>
      </w:r>
      <w:r w:rsidRPr="009D647D">
        <w:rPr>
          <w:rtl/>
        </w:rPr>
        <w:tab/>
        <w:t>وجود عدد كبير من الروما دون تأمين صحي، وكثرة العقبات أمام وصول</w:t>
      </w:r>
      <w:r w:rsidRPr="009D647D">
        <w:rPr>
          <w:rFonts w:hint="cs"/>
          <w:rtl/>
        </w:rPr>
        <w:t>هم</w:t>
      </w:r>
      <w:r w:rsidRPr="009D647D">
        <w:rPr>
          <w:rtl/>
        </w:rPr>
        <w:t xml:space="preserve"> إلى خدمات رعاية صحية جيدة؛</w:t>
      </w:r>
    </w:p>
    <w:p w:rsidR="00FC3308" w:rsidRPr="009D647D" w:rsidRDefault="00FC3308" w:rsidP="00FC3308">
      <w:pPr>
        <w:pStyle w:val="SingleTxtGA"/>
        <w:rPr>
          <w:rtl/>
        </w:rPr>
      </w:pPr>
      <w:r>
        <w:rPr>
          <w:rFonts w:hint="cs"/>
          <w:rtl/>
        </w:rPr>
        <w:tab/>
      </w:r>
      <w:r w:rsidRPr="009D647D">
        <w:rPr>
          <w:rtl/>
        </w:rPr>
        <w:t>(ه)</w:t>
      </w:r>
      <w:r>
        <w:rPr>
          <w:rFonts w:hint="cs"/>
          <w:rtl/>
        </w:rPr>
        <w:tab/>
      </w:r>
      <w:r w:rsidRPr="009D647D">
        <w:rPr>
          <w:rFonts w:hint="cs"/>
          <w:rtl/>
        </w:rPr>
        <w:t xml:space="preserve">استمرار </w:t>
      </w:r>
      <w:r w:rsidRPr="009D647D">
        <w:rPr>
          <w:rtl/>
        </w:rPr>
        <w:t>القوالب النمطية السلبية والتحيز ضد الروما، ونشر هذه القوالب النمطية والتحيز من خلال وسائط الإعلام (المواد 2، و3، و5).</w:t>
      </w:r>
    </w:p>
    <w:p w:rsidR="00FC3308" w:rsidRPr="009D647D" w:rsidRDefault="00FC3308" w:rsidP="00FC3308">
      <w:pPr>
        <w:pStyle w:val="SingleTxtGA"/>
        <w:rPr>
          <w:b/>
          <w:bCs/>
          <w:rtl/>
        </w:rPr>
      </w:pPr>
      <w:r w:rsidRPr="009D647D">
        <w:rPr>
          <w:rtl/>
        </w:rPr>
        <w:t>20-</w:t>
      </w:r>
      <w:r w:rsidRPr="009D647D">
        <w:rPr>
          <w:rtl/>
        </w:rPr>
        <w:tab/>
      </w:r>
      <w:r w:rsidRPr="009D647D">
        <w:rPr>
          <w:b/>
          <w:bCs/>
          <w:rtl/>
        </w:rPr>
        <w:t>وت</w:t>
      </w:r>
      <w:r w:rsidRPr="009D647D">
        <w:rPr>
          <w:rFonts w:hint="cs"/>
          <w:b/>
          <w:bCs/>
          <w:rtl/>
        </w:rPr>
        <w:t>ُ</w:t>
      </w:r>
      <w:r w:rsidRPr="009D647D">
        <w:rPr>
          <w:b/>
          <w:bCs/>
          <w:rtl/>
        </w:rPr>
        <w:t>ذك</w:t>
      </w:r>
      <w:r w:rsidRPr="009D647D">
        <w:rPr>
          <w:rFonts w:hint="cs"/>
          <w:b/>
          <w:bCs/>
          <w:rtl/>
        </w:rPr>
        <w:t>ّ</w:t>
      </w:r>
      <w:r w:rsidRPr="009D647D">
        <w:rPr>
          <w:b/>
          <w:bCs/>
          <w:rtl/>
        </w:rPr>
        <w:t>ر اللجنة بتوصيتها العامة رقم 27(2000) بشأن التمييز ضد الروما، وتوصي الدولة الطرف بما يلي:</w:t>
      </w:r>
    </w:p>
    <w:p w:rsidR="00FC3308" w:rsidRPr="009D647D" w:rsidRDefault="00FC3308" w:rsidP="00FC3308">
      <w:pPr>
        <w:pStyle w:val="SingleTxtGA"/>
        <w:rPr>
          <w:b/>
          <w:bCs/>
          <w:rtl/>
        </w:rPr>
      </w:pPr>
      <w:r w:rsidRPr="009D647D">
        <w:rPr>
          <w:rtl/>
        </w:rPr>
        <w:tab/>
        <w:t>(أ)</w:t>
      </w:r>
      <w:r w:rsidRPr="009D647D">
        <w:rPr>
          <w:rtl/>
        </w:rPr>
        <w:tab/>
      </w:r>
      <w:r w:rsidRPr="009D647D">
        <w:rPr>
          <w:b/>
          <w:bCs/>
          <w:rtl/>
        </w:rPr>
        <w:t xml:space="preserve">وقف </w:t>
      </w:r>
      <w:r w:rsidRPr="009D647D">
        <w:rPr>
          <w:rFonts w:hint="cs"/>
          <w:b/>
          <w:bCs/>
          <w:rtl/>
        </w:rPr>
        <w:t xml:space="preserve">الممارسة </w:t>
      </w:r>
      <w:r w:rsidRPr="009D647D">
        <w:rPr>
          <w:b/>
          <w:bCs/>
          <w:rtl/>
        </w:rPr>
        <w:t>ا</w:t>
      </w:r>
      <w:r w:rsidRPr="009D647D">
        <w:rPr>
          <w:rFonts w:hint="cs"/>
          <w:b/>
          <w:bCs/>
          <w:rtl/>
        </w:rPr>
        <w:t>لم</w:t>
      </w:r>
      <w:r w:rsidRPr="009D647D">
        <w:rPr>
          <w:b/>
          <w:bCs/>
          <w:rtl/>
        </w:rPr>
        <w:t>ستمر</w:t>
      </w:r>
      <w:r w:rsidRPr="009D647D">
        <w:rPr>
          <w:rFonts w:hint="cs"/>
          <w:b/>
          <w:bCs/>
          <w:rtl/>
        </w:rPr>
        <w:t>ة ل</w:t>
      </w:r>
      <w:r w:rsidRPr="009D647D">
        <w:rPr>
          <w:b/>
          <w:bCs/>
          <w:rtl/>
        </w:rPr>
        <w:t xml:space="preserve">عمليات إخلاء الروما </w:t>
      </w:r>
      <w:r w:rsidRPr="009D647D">
        <w:rPr>
          <w:rFonts w:hint="cs"/>
          <w:b/>
          <w:bCs/>
          <w:rtl/>
        </w:rPr>
        <w:t xml:space="preserve">القسري </w:t>
      </w:r>
      <w:r w:rsidRPr="009D647D">
        <w:rPr>
          <w:b/>
          <w:bCs/>
          <w:rtl/>
        </w:rPr>
        <w:t xml:space="preserve">من مستوطناتهم وتدميرها </w:t>
      </w:r>
      <w:r w:rsidRPr="009D647D">
        <w:rPr>
          <w:rFonts w:hint="cs"/>
          <w:b/>
          <w:bCs/>
          <w:rtl/>
        </w:rPr>
        <w:t xml:space="preserve">من </w:t>
      </w:r>
      <w:r w:rsidRPr="009D647D">
        <w:rPr>
          <w:b/>
          <w:bCs/>
          <w:rtl/>
        </w:rPr>
        <w:t>دون توفير سكن بديل أو تعويض مناسب لهم، واتخاذ تدابير لتقنين المستوطنات القائمة إلى أقصى حد ممكن، و</w:t>
      </w:r>
      <w:r w:rsidRPr="009D647D">
        <w:rPr>
          <w:rFonts w:hint="cs"/>
          <w:b/>
          <w:bCs/>
          <w:rtl/>
        </w:rPr>
        <w:t xml:space="preserve">في الوقت نفسه </w:t>
      </w:r>
      <w:r w:rsidRPr="009D647D">
        <w:rPr>
          <w:b/>
          <w:bCs/>
          <w:rtl/>
        </w:rPr>
        <w:t>تيسير حصول</w:t>
      </w:r>
      <w:r w:rsidRPr="009D647D">
        <w:rPr>
          <w:rFonts w:hint="cs"/>
          <w:b/>
          <w:bCs/>
          <w:rtl/>
        </w:rPr>
        <w:t xml:space="preserve"> الروما</w:t>
      </w:r>
      <w:r w:rsidRPr="009D647D">
        <w:rPr>
          <w:b/>
          <w:bCs/>
          <w:rtl/>
        </w:rPr>
        <w:t xml:space="preserve"> على الخدمات الأساسية في هذه المستوطنات؛</w:t>
      </w:r>
    </w:p>
    <w:p w:rsidR="00FC3308" w:rsidRPr="009D647D" w:rsidRDefault="00FC3308" w:rsidP="00FC3308">
      <w:pPr>
        <w:pStyle w:val="SingleTxtGA"/>
        <w:rPr>
          <w:b/>
          <w:bCs/>
          <w:rtl/>
        </w:rPr>
      </w:pPr>
      <w:r w:rsidRPr="009D647D">
        <w:rPr>
          <w:rtl/>
        </w:rPr>
        <w:tab/>
        <w:t>(ب)</w:t>
      </w:r>
      <w:r w:rsidRPr="009D647D">
        <w:rPr>
          <w:rtl/>
        </w:rPr>
        <w:tab/>
      </w:r>
      <w:r w:rsidRPr="009D647D">
        <w:rPr>
          <w:b/>
          <w:bCs/>
          <w:rtl/>
        </w:rPr>
        <w:t>تعزيز جهودها لتوفير سكن اجتماعي مناسب لأسر الروما من خلال برامج إسكان</w:t>
      </w:r>
      <w:r w:rsidRPr="009D647D">
        <w:rPr>
          <w:rFonts w:hint="cs"/>
          <w:b/>
          <w:bCs/>
          <w:rtl/>
        </w:rPr>
        <w:t xml:space="preserve"> خاصة</w:t>
      </w:r>
      <w:r w:rsidRPr="009D647D">
        <w:rPr>
          <w:b/>
          <w:bCs/>
          <w:rtl/>
        </w:rPr>
        <w:t xml:space="preserve"> ت</w:t>
      </w:r>
      <w:r w:rsidRPr="009D647D">
        <w:rPr>
          <w:rFonts w:hint="cs"/>
          <w:b/>
          <w:bCs/>
          <w:rtl/>
        </w:rPr>
        <w:t>قودها</w:t>
      </w:r>
      <w:r w:rsidRPr="009D647D">
        <w:rPr>
          <w:b/>
          <w:bCs/>
          <w:rtl/>
        </w:rPr>
        <w:t xml:space="preserve"> البلديات، بما في ذلك من خلال تخصيص ميزانية كافية لهذه البرامج؛</w:t>
      </w:r>
    </w:p>
    <w:p w:rsidR="00FC3308" w:rsidRPr="009D647D" w:rsidRDefault="00FC3308" w:rsidP="00FC3308">
      <w:pPr>
        <w:pStyle w:val="SingleTxtGA"/>
        <w:rPr>
          <w:b/>
          <w:bCs/>
          <w:rtl/>
        </w:rPr>
      </w:pPr>
      <w:r w:rsidRPr="009D647D">
        <w:rPr>
          <w:rtl/>
        </w:rPr>
        <w:tab/>
        <w:t>(ج)</w:t>
      </w:r>
      <w:r w:rsidRPr="009D647D">
        <w:rPr>
          <w:rtl/>
        </w:rPr>
        <w:tab/>
      </w:r>
      <w:r w:rsidRPr="009D647D">
        <w:rPr>
          <w:b/>
          <w:bCs/>
          <w:rtl/>
        </w:rPr>
        <w:t>التصدي بحزم لم</w:t>
      </w:r>
      <w:r w:rsidRPr="009D647D">
        <w:rPr>
          <w:rFonts w:hint="cs"/>
          <w:b/>
          <w:bCs/>
          <w:rtl/>
        </w:rPr>
        <w:t xml:space="preserve">سألة </w:t>
      </w:r>
      <w:r w:rsidRPr="009D647D">
        <w:rPr>
          <w:b/>
          <w:bCs/>
          <w:rtl/>
        </w:rPr>
        <w:t>فصل أطفال الروما في نظام التعليم</w:t>
      </w:r>
      <w:r w:rsidRPr="009D647D">
        <w:rPr>
          <w:rFonts w:hint="cs"/>
          <w:b/>
          <w:bCs/>
          <w:rtl/>
        </w:rPr>
        <w:t xml:space="preserve"> سعيا</w:t>
      </w:r>
      <w:r>
        <w:rPr>
          <w:rFonts w:hint="cs"/>
          <w:b/>
          <w:bCs/>
          <w:rtl/>
        </w:rPr>
        <w:t>ً</w:t>
      </w:r>
      <w:r w:rsidRPr="009D647D">
        <w:rPr>
          <w:rFonts w:hint="cs"/>
          <w:b/>
          <w:bCs/>
          <w:rtl/>
        </w:rPr>
        <w:t xml:space="preserve"> إلى الامتثال </w:t>
      </w:r>
      <w:r w:rsidRPr="009D647D">
        <w:rPr>
          <w:b/>
          <w:bCs/>
          <w:rtl/>
        </w:rPr>
        <w:t xml:space="preserve">للمادة 3 من الاتفاقية. وتؤكد اللجنة أن ظروف الفصل العنصري لا تنشأ بالضرورة عن سياسات الحكومة، بل </w:t>
      </w:r>
      <w:r w:rsidRPr="009D647D">
        <w:rPr>
          <w:rFonts w:hint="cs"/>
          <w:b/>
          <w:bCs/>
          <w:rtl/>
        </w:rPr>
        <w:t xml:space="preserve">قد تكون </w:t>
      </w:r>
      <w:r w:rsidRPr="009D647D">
        <w:rPr>
          <w:b/>
          <w:bCs/>
          <w:rtl/>
        </w:rPr>
        <w:t>نتاج</w:t>
      </w:r>
      <w:r w:rsidRPr="009D647D">
        <w:rPr>
          <w:rFonts w:hint="cs"/>
          <w:b/>
          <w:bCs/>
          <w:rtl/>
        </w:rPr>
        <w:t>ا</w:t>
      </w:r>
      <w:r>
        <w:rPr>
          <w:rFonts w:hint="cs"/>
          <w:b/>
          <w:bCs/>
          <w:rtl/>
        </w:rPr>
        <w:t>ً</w:t>
      </w:r>
      <w:r w:rsidRPr="009D647D">
        <w:rPr>
          <w:b/>
          <w:bCs/>
          <w:rtl/>
        </w:rPr>
        <w:t xml:space="preserve"> عرضي</w:t>
      </w:r>
      <w:r w:rsidRPr="009D647D">
        <w:rPr>
          <w:rFonts w:hint="cs"/>
          <w:b/>
          <w:bCs/>
          <w:rtl/>
        </w:rPr>
        <w:t>ا</w:t>
      </w:r>
      <w:r>
        <w:rPr>
          <w:rFonts w:hint="cs"/>
          <w:b/>
          <w:bCs/>
          <w:rtl/>
        </w:rPr>
        <w:t>ً</w:t>
      </w:r>
      <w:r w:rsidRPr="009D647D">
        <w:rPr>
          <w:b/>
          <w:bCs/>
          <w:rtl/>
        </w:rPr>
        <w:t xml:space="preserve"> غير مقصود لتصرفات أفراد بصفتهم الشخصية تفضي إلى </w:t>
      </w:r>
      <w:r w:rsidRPr="009D647D">
        <w:rPr>
          <w:rFonts w:hint="cs"/>
          <w:b/>
          <w:bCs/>
          <w:rtl/>
        </w:rPr>
        <w:t>ال</w:t>
      </w:r>
      <w:r w:rsidRPr="009D647D">
        <w:rPr>
          <w:b/>
          <w:bCs/>
          <w:rtl/>
        </w:rPr>
        <w:t>عزل</w:t>
      </w:r>
      <w:r w:rsidRPr="009D647D">
        <w:rPr>
          <w:rFonts w:hint="cs"/>
          <w:b/>
          <w:bCs/>
          <w:rtl/>
        </w:rPr>
        <w:t>ة ال</w:t>
      </w:r>
      <w:r w:rsidRPr="009D647D">
        <w:rPr>
          <w:b/>
          <w:bCs/>
          <w:rtl/>
        </w:rPr>
        <w:t>اجتماعي</w:t>
      </w:r>
      <w:r w:rsidRPr="009D647D">
        <w:rPr>
          <w:rFonts w:hint="cs"/>
          <w:b/>
          <w:bCs/>
          <w:rtl/>
        </w:rPr>
        <w:t>ة</w:t>
      </w:r>
      <w:r w:rsidRPr="009D647D">
        <w:rPr>
          <w:b/>
          <w:bCs/>
          <w:rtl/>
        </w:rPr>
        <w:t>.</w:t>
      </w:r>
      <w:r w:rsidRPr="009D647D">
        <w:rPr>
          <w:rFonts w:hint="cs"/>
          <w:b/>
          <w:bCs/>
          <w:rtl/>
        </w:rPr>
        <w:t xml:space="preserve"> </w:t>
      </w:r>
      <w:r w:rsidRPr="009D647D">
        <w:rPr>
          <w:b/>
          <w:bCs/>
          <w:rtl/>
        </w:rPr>
        <w:t>وينبغي للدولة الطرف القضاء على أي تمييز ضد طلاب الروما فيما يتعلق ب</w:t>
      </w:r>
      <w:r w:rsidRPr="009D647D">
        <w:rPr>
          <w:rFonts w:hint="cs"/>
          <w:b/>
          <w:bCs/>
          <w:rtl/>
        </w:rPr>
        <w:t xml:space="preserve">حصولهم على </w:t>
      </w:r>
      <w:r w:rsidRPr="009D647D">
        <w:rPr>
          <w:b/>
          <w:bCs/>
          <w:rtl/>
        </w:rPr>
        <w:t>تعليم مناسب،</w:t>
      </w:r>
      <w:r w:rsidRPr="009D647D">
        <w:rPr>
          <w:rFonts w:hint="cs"/>
          <w:b/>
          <w:bCs/>
          <w:rtl/>
        </w:rPr>
        <w:t xml:space="preserve"> </w:t>
      </w:r>
      <w:r w:rsidRPr="009D647D">
        <w:rPr>
          <w:b/>
          <w:bCs/>
          <w:rtl/>
        </w:rPr>
        <w:t>ومكافحة القوالب النمطية التي تفضي إلى استبعاد</w:t>
      </w:r>
      <w:r w:rsidRPr="009D647D">
        <w:rPr>
          <w:rFonts w:hint="cs"/>
          <w:b/>
          <w:bCs/>
          <w:rtl/>
        </w:rPr>
        <w:t xml:space="preserve">هم </w:t>
      </w:r>
      <w:r w:rsidRPr="009D647D">
        <w:rPr>
          <w:b/>
          <w:bCs/>
          <w:rtl/>
        </w:rPr>
        <w:t>اجتماعي</w:t>
      </w:r>
      <w:r w:rsidRPr="009D647D">
        <w:rPr>
          <w:rFonts w:hint="cs"/>
          <w:b/>
          <w:bCs/>
          <w:rtl/>
        </w:rPr>
        <w:t>ا</w:t>
      </w:r>
      <w:r>
        <w:rPr>
          <w:rFonts w:hint="cs"/>
          <w:b/>
          <w:bCs/>
          <w:rtl/>
        </w:rPr>
        <w:t>ً</w:t>
      </w:r>
      <w:r w:rsidRPr="009D647D">
        <w:rPr>
          <w:b/>
          <w:bCs/>
          <w:rtl/>
        </w:rPr>
        <w:t>؛</w:t>
      </w:r>
    </w:p>
    <w:p w:rsidR="00FC3308" w:rsidRPr="009D647D" w:rsidRDefault="00FC3308" w:rsidP="00FC3308">
      <w:pPr>
        <w:pStyle w:val="SingleTxtGA"/>
        <w:rPr>
          <w:b/>
          <w:bCs/>
          <w:rtl/>
        </w:rPr>
      </w:pPr>
      <w:r w:rsidRPr="009D647D">
        <w:rPr>
          <w:rtl/>
        </w:rPr>
        <w:tab/>
        <w:t>(د)</w:t>
      </w:r>
      <w:r w:rsidRPr="009D647D">
        <w:rPr>
          <w:rtl/>
        </w:rPr>
        <w:tab/>
      </w:r>
      <w:r w:rsidRPr="009D647D">
        <w:rPr>
          <w:b/>
          <w:bCs/>
          <w:rtl/>
        </w:rPr>
        <w:t xml:space="preserve">تكثيف الجهود الرامية إلى زيادة التحاق </w:t>
      </w:r>
      <w:r w:rsidRPr="009D647D">
        <w:rPr>
          <w:rFonts w:hint="cs"/>
          <w:b/>
          <w:bCs/>
          <w:rtl/>
        </w:rPr>
        <w:t xml:space="preserve">الروما </w:t>
      </w:r>
      <w:r w:rsidRPr="009D647D">
        <w:rPr>
          <w:b/>
          <w:bCs/>
          <w:rtl/>
        </w:rPr>
        <w:t xml:space="preserve">بالتعليم </w:t>
      </w:r>
      <w:r w:rsidRPr="009D647D">
        <w:rPr>
          <w:rFonts w:hint="cs"/>
          <w:b/>
          <w:bCs/>
          <w:rtl/>
        </w:rPr>
        <w:t xml:space="preserve">ما </w:t>
      </w:r>
      <w:r w:rsidRPr="009D647D">
        <w:rPr>
          <w:b/>
          <w:bCs/>
          <w:rtl/>
        </w:rPr>
        <w:t>قبل المدرسي، وتخفيض معدلات انقطاع</w:t>
      </w:r>
      <w:r w:rsidRPr="009D647D">
        <w:rPr>
          <w:rFonts w:hint="cs"/>
          <w:b/>
          <w:bCs/>
          <w:rtl/>
        </w:rPr>
        <w:t>هم</w:t>
      </w:r>
      <w:r w:rsidRPr="009D647D">
        <w:rPr>
          <w:b/>
          <w:bCs/>
          <w:rtl/>
        </w:rPr>
        <w:t xml:space="preserve"> عن الدراسة </w:t>
      </w:r>
      <w:r w:rsidRPr="009D647D">
        <w:rPr>
          <w:rFonts w:hint="cs"/>
          <w:b/>
          <w:bCs/>
          <w:rtl/>
        </w:rPr>
        <w:t xml:space="preserve">في </w:t>
      </w:r>
      <w:r w:rsidRPr="009D647D">
        <w:rPr>
          <w:b/>
          <w:bCs/>
          <w:rtl/>
        </w:rPr>
        <w:t>جميع المستويات الدراسية؛</w:t>
      </w:r>
    </w:p>
    <w:p w:rsidR="00FC3308" w:rsidRPr="009D647D" w:rsidRDefault="00FC3308" w:rsidP="00FC3308">
      <w:pPr>
        <w:pStyle w:val="SingleTxtGA"/>
        <w:rPr>
          <w:b/>
          <w:bCs/>
          <w:rtl/>
        </w:rPr>
      </w:pPr>
      <w:r w:rsidRPr="009D647D">
        <w:rPr>
          <w:rFonts w:hint="cs"/>
          <w:rtl/>
        </w:rPr>
        <w:tab/>
      </w:r>
      <w:r w:rsidRPr="009D647D">
        <w:rPr>
          <w:rtl/>
        </w:rPr>
        <w:t>(ه)</w:t>
      </w:r>
      <w:r w:rsidRPr="009D647D">
        <w:rPr>
          <w:rFonts w:hint="cs"/>
          <w:rtl/>
        </w:rPr>
        <w:tab/>
      </w:r>
      <w:r w:rsidRPr="009D647D">
        <w:rPr>
          <w:b/>
          <w:bCs/>
          <w:rtl/>
        </w:rPr>
        <w:t xml:space="preserve">اتخاذ تدابير فعالة لتيسير سبل </w:t>
      </w:r>
      <w:r w:rsidRPr="009D647D">
        <w:rPr>
          <w:rFonts w:hint="cs"/>
          <w:b/>
          <w:bCs/>
          <w:rtl/>
        </w:rPr>
        <w:t>تدريب و</w:t>
      </w:r>
      <w:r w:rsidRPr="009D647D">
        <w:rPr>
          <w:b/>
          <w:bCs/>
          <w:rtl/>
        </w:rPr>
        <w:t>توظيف الروما</w:t>
      </w:r>
      <w:r w:rsidRPr="009D647D">
        <w:rPr>
          <w:rFonts w:hint="cs"/>
          <w:b/>
          <w:bCs/>
          <w:rtl/>
        </w:rPr>
        <w:t xml:space="preserve">، </w:t>
      </w:r>
      <w:r w:rsidRPr="009D647D">
        <w:rPr>
          <w:b/>
          <w:bCs/>
          <w:rtl/>
        </w:rPr>
        <w:t xml:space="preserve">بوسائل منها اعتماد تدابير فعالة أو توسيع نطاقها، من قبيل تقديم مساعدة موجهة </w:t>
      </w:r>
      <w:r w:rsidRPr="009D647D">
        <w:rPr>
          <w:rFonts w:hint="cs"/>
          <w:b/>
          <w:bCs/>
          <w:rtl/>
        </w:rPr>
        <w:t xml:space="preserve">عند </w:t>
      </w:r>
      <w:r w:rsidRPr="009D647D">
        <w:rPr>
          <w:b/>
          <w:bCs/>
          <w:rtl/>
        </w:rPr>
        <w:t>البحث عن وظائف في سوق العمل الرئيسية، واتخاذ تدابير خاصة في مجال التوظيف في القطاع العام، وتقديم حوافز للتوظيف في القطاع الخاص؛</w:t>
      </w:r>
    </w:p>
    <w:p w:rsidR="00FC3308" w:rsidRPr="009D647D" w:rsidRDefault="00FC3308" w:rsidP="00FC3308">
      <w:pPr>
        <w:pStyle w:val="SingleTxtGA"/>
        <w:rPr>
          <w:b/>
          <w:bCs/>
          <w:rtl/>
        </w:rPr>
      </w:pPr>
      <w:r w:rsidRPr="009D647D">
        <w:rPr>
          <w:rtl/>
        </w:rPr>
        <w:lastRenderedPageBreak/>
        <w:tab/>
        <w:t>(و)</w:t>
      </w:r>
      <w:r w:rsidRPr="009D647D">
        <w:rPr>
          <w:rtl/>
        </w:rPr>
        <w:tab/>
      </w:r>
      <w:r w:rsidRPr="009D647D">
        <w:rPr>
          <w:b/>
          <w:bCs/>
          <w:rtl/>
        </w:rPr>
        <w:t xml:space="preserve">مواصلة الجهود الرامية إلى توسيع نطاق تغطية التأمين الصحي بين الروما، وتعزيز التوعية التي تضطلع بها الوحدات الطبية المتنقلة، بما في ذلك عن طريق توفير خدمات </w:t>
      </w:r>
      <w:r w:rsidRPr="009D647D">
        <w:rPr>
          <w:rFonts w:hint="cs"/>
          <w:b/>
          <w:bCs/>
          <w:rtl/>
        </w:rPr>
        <w:t xml:space="preserve">الرعاية </w:t>
      </w:r>
      <w:r w:rsidRPr="009D647D">
        <w:rPr>
          <w:b/>
          <w:bCs/>
          <w:rtl/>
        </w:rPr>
        <w:t>الصحية الطارئة في جميع المستوطنات التي تسكنها أعدد كبيرة من الروما، وضمان حصولهم على خدمات رعاية صحية جيدة دون تمييز، وتدريب المهنيين الطبيين بغية التواصل بفعالية مع الناس من مختلف الأوساط الثقافية؛</w:t>
      </w:r>
    </w:p>
    <w:p w:rsidR="00FC3308" w:rsidRPr="009D647D" w:rsidRDefault="00FC3308" w:rsidP="00FC3308">
      <w:pPr>
        <w:pStyle w:val="SingleTxtGA"/>
        <w:rPr>
          <w:b/>
          <w:bCs/>
          <w:rtl/>
        </w:rPr>
      </w:pPr>
      <w:r w:rsidRPr="009D647D">
        <w:rPr>
          <w:rtl/>
        </w:rPr>
        <w:tab/>
        <w:t>(ز)</w:t>
      </w:r>
      <w:r w:rsidRPr="009D647D">
        <w:rPr>
          <w:rtl/>
        </w:rPr>
        <w:tab/>
      </w:r>
      <w:r w:rsidRPr="009D647D">
        <w:rPr>
          <w:b/>
          <w:bCs/>
          <w:rtl/>
        </w:rPr>
        <w:t>اتخاذ خطوات فورية، مثل حملات التوعية، للقضاء على التحيزات والقوالب النمطية المتعلقة بالروما ومساهمتهم في المجتمع</w:t>
      </w:r>
      <w:r w:rsidRPr="009D647D">
        <w:rPr>
          <w:rFonts w:hint="cs"/>
          <w:b/>
          <w:bCs/>
          <w:rtl/>
        </w:rPr>
        <w:t>، وذلك</w:t>
      </w:r>
      <w:r w:rsidRPr="009D647D">
        <w:rPr>
          <w:b/>
          <w:bCs/>
          <w:rtl/>
        </w:rPr>
        <w:t xml:space="preserve"> بغية ضمان تمثيلهم تمثيلا</w:t>
      </w:r>
      <w:r>
        <w:rPr>
          <w:b/>
          <w:bCs/>
          <w:rtl/>
        </w:rPr>
        <w:t>ً</w:t>
      </w:r>
      <w:r w:rsidRPr="009D647D">
        <w:rPr>
          <w:b/>
          <w:bCs/>
          <w:rtl/>
        </w:rPr>
        <w:t xml:space="preserve"> كافيا</w:t>
      </w:r>
      <w:r>
        <w:rPr>
          <w:b/>
          <w:bCs/>
          <w:rtl/>
        </w:rPr>
        <w:t>ً</w:t>
      </w:r>
      <w:r w:rsidRPr="009D647D">
        <w:rPr>
          <w:b/>
          <w:bCs/>
          <w:rtl/>
        </w:rPr>
        <w:t xml:space="preserve"> في الحياة السياسية والعامة.</w:t>
      </w:r>
      <w:bookmarkStart w:id="12" w:name="_Toc483922864"/>
    </w:p>
    <w:p w:rsidR="00FC3308" w:rsidRPr="009D647D" w:rsidRDefault="00FC3308" w:rsidP="00FC3308">
      <w:pPr>
        <w:pStyle w:val="H23GA"/>
        <w:rPr>
          <w:rtl/>
        </w:rPr>
      </w:pPr>
      <w:r>
        <w:rPr>
          <w:rFonts w:hint="cs"/>
          <w:rtl/>
        </w:rPr>
        <w:tab/>
      </w:r>
      <w:r>
        <w:rPr>
          <w:rFonts w:hint="cs"/>
          <w:rtl/>
        </w:rPr>
        <w:tab/>
      </w:r>
      <w:r w:rsidRPr="009D647D">
        <w:rPr>
          <w:rtl/>
        </w:rPr>
        <w:t>المهاجرون واللاجئون وملتمسو اللجوء</w:t>
      </w:r>
      <w:bookmarkEnd w:id="12"/>
    </w:p>
    <w:p w:rsidR="00FC3308" w:rsidRPr="009D647D" w:rsidRDefault="00FC3308" w:rsidP="00FC3308">
      <w:pPr>
        <w:pStyle w:val="SingleTxtGA"/>
        <w:rPr>
          <w:rtl/>
        </w:rPr>
      </w:pPr>
      <w:r w:rsidRPr="009D647D">
        <w:rPr>
          <w:rtl/>
        </w:rPr>
        <w:t>21-</w:t>
      </w:r>
      <w:r w:rsidRPr="009D647D">
        <w:rPr>
          <w:rtl/>
        </w:rPr>
        <w:tab/>
        <w:t xml:space="preserve">تدرك اللجنة زيادة عدد المهاجرين واللاجئين وطالبي اللجوء في الدولة الطرف. وتقدر </w:t>
      </w:r>
      <w:r w:rsidRPr="009D647D">
        <w:rPr>
          <w:rFonts w:hint="cs"/>
          <w:rtl/>
        </w:rPr>
        <w:t>أيضا</w:t>
      </w:r>
      <w:r>
        <w:rPr>
          <w:rFonts w:hint="cs"/>
          <w:rtl/>
        </w:rPr>
        <w:t>ً</w:t>
      </w:r>
      <w:r w:rsidRPr="009D647D">
        <w:rPr>
          <w:rFonts w:hint="cs"/>
          <w:rtl/>
        </w:rPr>
        <w:t xml:space="preserve"> </w:t>
      </w:r>
      <w:r w:rsidRPr="009D647D">
        <w:rPr>
          <w:rtl/>
        </w:rPr>
        <w:t xml:space="preserve">التدابير المتخذة بالتعاون مع كيانات الأمم المتحدة والاتحاد الأوروبي </w:t>
      </w:r>
      <w:r w:rsidRPr="009D647D">
        <w:rPr>
          <w:rFonts w:hint="cs"/>
          <w:rtl/>
        </w:rPr>
        <w:t xml:space="preserve">من أجل </w:t>
      </w:r>
      <w:r w:rsidRPr="009D647D">
        <w:rPr>
          <w:rtl/>
        </w:rPr>
        <w:t>تحسين الظروف المعيشية في مراكز استقبال</w:t>
      </w:r>
      <w:r w:rsidRPr="009D647D">
        <w:rPr>
          <w:rFonts w:hint="cs"/>
          <w:rtl/>
        </w:rPr>
        <w:t xml:space="preserve"> هؤلاء</w:t>
      </w:r>
      <w:r w:rsidRPr="009D647D">
        <w:rPr>
          <w:rtl/>
        </w:rPr>
        <w:t>، وتدبير نظام اللجوء فيها. بيد أن اللجنة لا</w:t>
      </w:r>
      <w:r w:rsidRPr="009D647D">
        <w:rPr>
          <w:rFonts w:hint="cs"/>
          <w:rtl/>
        </w:rPr>
        <w:t xml:space="preserve"> </w:t>
      </w:r>
      <w:r w:rsidRPr="009D647D">
        <w:rPr>
          <w:rtl/>
        </w:rPr>
        <w:t>تزال تشعر بالقلق إزاء ما يلي:</w:t>
      </w:r>
    </w:p>
    <w:p w:rsidR="00FC3308" w:rsidRPr="009D647D" w:rsidRDefault="00FC3308" w:rsidP="00FC3308">
      <w:pPr>
        <w:pStyle w:val="SingleTxtGA"/>
        <w:rPr>
          <w:rtl/>
        </w:rPr>
      </w:pPr>
      <w:r w:rsidRPr="009D647D">
        <w:rPr>
          <w:rtl/>
        </w:rPr>
        <w:tab/>
        <w:t>(أ)</w:t>
      </w:r>
      <w:r w:rsidRPr="009D647D">
        <w:rPr>
          <w:rtl/>
        </w:rPr>
        <w:tab/>
        <w:t>إشارة تقارير إلى أن مهاجرين أ</w:t>
      </w:r>
      <w:r w:rsidRPr="009D647D">
        <w:rPr>
          <w:rFonts w:hint="cs"/>
          <w:rtl/>
        </w:rPr>
        <w:t>ُ</w:t>
      </w:r>
      <w:r w:rsidRPr="009D647D">
        <w:rPr>
          <w:rtl/>
        </w:rPr>
        <w:t>بعدوا عن الحدود، وأن شرطة الحدود لجأت إلى الاستخدام المفرط للقوة، وأن السلطات شاركت في إعادتهم قسرا</w:t>
      </w:r>
      <w:r>
        <w:rPr>
          <w:rtl/>
        </w:rPr>
        <w:t>ً</w:t>
      </w:r>
      <w:r w:rsidRPr="009D647D">
        <w:rPr>
          <w:rtl/>
        </w:rPr>
        <w:t>، بمن في ذلك الأشخاص ذو</w:t>
      </w:r>
      <w:r w:rsidRPr="009D647D">
        <w:rPr>
          <w:rFonts w:hint="cs"/>
          <w:rtl/>
        </w:rPr>
        <w:t>و</w:t>
      </w:r>
      <w:r w:rsidRPr="009D647D">
        <w:rPr>
          <w:rtl/>
        </w:rPr>
        <w:t xml:space="preserve"> الاحتياجات الخاصة أو في </w:t>
      </w:r>
      <w:r w:rsidRPr="009D647D">
        <w:rPr>
          <w:rFonts w:hint="cs"/>
          <w:rtl/>
        </w:rPr>
        <w:t xml:space="preserve">حالة </w:t>
      </w:r>
      <w:r w:rsidRPr="009D647D">
        <w:rPr>
          <w:rtl/>
        </w:rPr>
        <w:t>ضعف؛</w:t>
      </w:r>
    </w:p>
    <w:p w:rsidR="00FC3308" w:rsidRPr="009D647D" w:rsidRDefault="00FC3308" w:rsidP="00FC3308">
      <w:pPr>
        <w:pStyle w:val="SingleTxtGA"/>
        <w:rPr>
          <w:rtl/>
        </w:rPr>
      </w:pPr>
      <w:r w:rsidRPr="009D647D">
        <w:rPr>
          <w:rtl/>
        </w:rPr>
        <w:tab/>
        <w:t>(ب)</w:t>
      </w:r>
      <w:r w:rsidRPr="009D647D">
        <w:rPr>
          <w:rtl/>
        </w:rPr>
        <w:tab/>
        <w:t>تجريم العبور غير النظامي للحدود؛</w:t>
      </w:r>
    </w:p>
    <w:p w:rsidR="00FC3308" w:rsidRPr="009D647D" w:rsidRDefault="00FC3308" w:rsidP="00FC3308">
      <w:pPr>
        <w:pStyle w:val="SingleTxtGA"/>
        <w:rPr>
          <w:rtl/>
        </w:rPr>
      </w:pPr>
      <w:r w:rsidRPr="009D647D">
        <w:rPr>
          <w:rtl/>
        </w:rPr>
        <w:tab/>
        <w:t>(ج)</w:t>
      </w:r>
      <w:r w:rsidRPr="009D647D">
        <w:rPr>
          <w:rtl/>
        </w:rPr>
        <w:tab/>
      </w:r>
      <w:r w:rsidRPr="009D647D">
        <w:rPr>
          <w:rFonts w:hint="cs"/>
          <w:rtl/>
        </w:rPr>
        <w:t>تخصيص</w:t>
      </w:r>
      <w:r w:rsidRPr="009D647D">
        <w:rPr>
          <w:rtl/>
        </w:rPr>
        <w:t xml:space="preserve"> تمويل محدود لوكالة اللاجئين التابعة للدولة ووقف دفع مبلغ 32 يورو شهريا</w:t>
      </w:r>
      <w:r>
        <w:rPr>
          <w:rtl/>
        </w:rPr>
        <w:t>ً</w:t>
      </w:r>
      <w:r w:rsidRPr="009D647D">
        <w:rPr>
          <w:rtl/>
        </w:rPr>
        <w:t xml:space="preserve"> لجميع ملتمسي اللجوء المقيمين في مراكز الاستقبال؛</w:t>
      </w:r>
    </w:p>
    <w:p w:rsidR="00FC3308" w:rsidRPr="009D647D" w:rsidRDefault="00FC3308" w:rsidP="00FC3308">
      <w:pPr>
        <w:pStyle w:val="SingleTxtGA"/>
        <w:rPr>
          <w:rtl/>
        </w:rPr>
      </w:pPr>
      <w:r w:rsidRPr="009D647D">
        <w:rPr>
          <w:rtl/>
        </w:rPr>
        <w:tab/>
        <w:t>(د)</w:t>
      </w:r>
      <w:r w:rsidRPr="009D647D">
        <w:rPr>
          <w:rtl/>
        </w:rPr>
        <w:tab/>
        <w:t>عدم وجود آليات تحد</w:t>
      </w:r>
      <w:r w:rsidRPr="009D647D">
        <w:rPr>
          <w:rFonts w:hint="cs"/>
          <w:rtl/>
        </w:rPr>
        <w:t>ِّ</w:t>
      </w:r>
      <w:r w:rsidRPr="009D647D">
        <w:rPr>
          <w:rtl/>
        </w:rPr>
        <w:t xml:space="preserve">د </w:t>
      </w:r>
      <w:r w:rsidRPr="009D647D">
        <w:rPr>
          <w:rFonts w:hint="cs"/>
          <w:rtl/>
        </w:rPr>
        <w:t xml:space="preserve">هوية </w:t>
      </w:r>
      <w:r w:rsidRPr="009D647D">
        <w:rPr>
          <w:rtl/>
        </w:rPr>
        <w:t xml:space="preserve">ملتمسي اللجوء الذين </w:t>
      </w:r>
      <w:r w:rsidRPr="009D647D">
        <w:rPr>
          <w:rFonts w:hint="cs"/>
          <w:rtl/>
        </w:rPr>
        <w:t xml:space="preserve">هم في حالة ضعف </w:t>
      </w:r>
      <w:r w:rsidRPr="009D647D">
        <w:rPr>
          <w:rtl/>
        </w:rPr>
        <w:t>وتقي</w:t>
      </w:r>
      <w:r w:rsidR="006102AD">
        <w:rPr>
          <w:rFonts w:hint="cs"/>
          <w:rtl/>
        </w:rPr>
        <w:t>ّ</w:t>
      </w:r>
      <w:r w:rsidRPr="009D647D">
        <w:rPr>
          <w:rtl/>
        </w:rPr>
        <w:t xml:space="preserve">م </w:t>
      </w:r>
      <w:r w:rsidRPr="009D647D">
        <w:rPr>
          <w:rFonts w:hint="cs"/>
          <w:rtl/>
        </w:rPr>
        <w:t>وضعهم وتحيلهم في وقت مبكر</w:t>
      </w:r>
      <w:r w:rsidRPr="009D647D">
        <w:rPr>
          <w:rtl/>
        </w:rPr>
        <w:t>، مثل الأطفال غير المصحوبين بذويهم، والنقص ال</w:t>
      </w:r>
      <w:r w:rsidRPr="009D647D">
        <w:rPr>
          <w:rFonts w:hint="cs"/>
          <w:rtl/>
        </w:rPr>
        <w:t>متكرر</w:t>
      </w:r>
      <w:r w:rsidRPr="009D647D">
        <w:rPr>
          <w:rtl/>
        </w:rPr>
        <w:t xml:space="preserve"> في عدد الأفراد المؤهلين ليكونوا أوصياء قانونيين على الأطفال غير المصحوبين؛</w:t>
      </w:r>
    </w:p>
    <w:p w:rsidR="00FC3308" w:rsidRPr="009D647D" w:rsidRDefault="00FC3308" w:rsidP="00FC3308">
      <w:pPr>
        <w:pStyle w:val="SingleTxtGA"/>
        <w:rPr>
          <w:rtl/>
        </w:rPr>
      </w:pPr>
      <w:r w:rsidRPr="009D647D">
        <w:rPr>
          <w:rFonts w:hint="cs"/>
          <w:rtl/>
        </w:rPr>
        <w:tab/>
      </w:r>
      <w:r w:rsidRPr="009D647D">
        <w:rPr>
          <w:rtl/>
        </w:rPr>
        <w:t>(ه)</w:t>
      </w:r>
      <w:r w:rsidRPr="009D647D">
        <w:rPr>
          <w:rFonts w:hint="cs"/>
          <w:rtl/>
        </w:rPr>
        <w:tab/>
      </w:r>
      <w:r w:rsidRPr="009D647D">
        <w:rPr>
          <w:rtl/>
        </w:rPr>
        <w:t xml:space="preserve">مواصلة وضع ملتمسي اللجوء </w:t>
      </w:r>
      <w:r w:rsidRPr="009D647D">
        <w:rPr>
          <w:rFonts w:hint="cs"/>
          <w:rtl/>
        </w:rPr>
        <w:t xml:space="preserve">غير الموثقين </w:t>
      </w:r>
      <w:r w:rsidRPr="009D647D">
        <w:rPr>
          <w:rtl/>
        </w:rPr>
        <w:t>رهن الاحتجاز الإداري، وتوسيع أسس احتجازهم ابتداء من كانون الثاني/يناير 2016؛ وعلاوة على ذلك، تشعر اللجنة بالقلق إزاء رداءة الظروف المادية في مراكز الا</w:t>
      </w:r>
      <w:r w:rsidRPr="009D647D">
        <w:rPr>
          <w:rFonts w:hint="cs"/>
          <w:rtl/>
        </w:rPr>
        <w:t>حتجاز</w:t>
      </w:r>
      <w:r w:rsidRPr="009D647D">
        <w:rPr>
          <w:rtl/>
        </w:rPr>
        <w:t xml:space="preserve"> الإداري، والتقارير التي تشير إلى سوء معاملتهم؛</w:t>
      </w:r>
    </w:p>
    <w:p w:rsidR="00FC3308" w:rsidRPr="009D647D" w:rsidRDefault="00FC3308" w:rsidP="00FC3308">
      <w:pPr>
        <w:pStyle w:val="SingleTxtGA"/>
        <w:rPr>
          <w:rtl/>
        </w:rPr>
      </w:pPr>
      <w:r w:rsidRPr="009D647D">
        <w:rPr>
          <w:rtl/>
        </w:rPr>
        <w:tab/>
        <w:t>(و)</w:t>
      </w:r>
      <w:r w:rsidRPr="009D647D">
        <w:rPr>
          <w:rtl/>
        </w:rPr>
        <w:tab/>
        <w:t>مواجهة المستفيدين من الحماية الدولية لعقبات عملية، بما في ذلك عدم حصولهم على سكن اجتماعي وتدريب لغوي، الأمر الذي يعوق تمتعهم بحقوقهم الاجتماعية والاقتصادية (المادتان 5، و6).</w:t>
      </w:r>
    </w:p>
    <w:p w:rsidR="00FC3308" w:rsidRPr="009D647D" w:rsidRDefault="00FC3308" w:rsidP="00FC3308">
      <w:pPr>
        <w:pStyle w:val="SingleTxtGA"/>
        <w:rPr>
          <w:b/>
          <w:bCs/>
          <w:spacing w:val="-2"/>
          <w:rtl/>
        </w:rPr>
      </w:pPr>
      <w:r w:rsidRPr="009D647D">
        <w:rPr>
          <w:spacing w:val="-2"/>
          <w:rtl/>
        </w:rPr>
        <w:t>22-</w:t>
      </w:r>
      <w:r w:rsidRPr="009D647D">
        <w:rPr>
          <w:spacing w:val="-2"/>
          <w:rtl/>
        </w:rPr>
        <w:tab/>
      </w:r>
      <w:r w:rsidRPr="009D647D">
        <w:rPr>
          <w:b/>
          <w:bCs/>
          <w:spacing w:val="-2"/>
          <w:rtl/>
        </w:rPr>
        <w:t>توصي اللجنة الدولة الطرف با</w:t>
      </w:r>
      <w:r w:rsidRPr="009D647D">
        <w:rPr>
          <w:rFonts w:hint="cs"/>
          <w:b/>
          <w:bCs/>
          <w:spacing w:val="-2"/>
          <w:rtl/>
        </w:rPr>
        <w:t>عتماد</w:t>
      </w:r>
      <w:r w:rsidRPr="009D647D">
        <w:rPr>
          <w:b/>
          <w:bCs/>
          <w:spacing w:val="-2"/>
          <w:rtl/>
        </w:rPr>
        <w:t xml:space="preserve"> نهج قائم على حقوق الإنسان وإدماج منظور عدم التمييز في إدارتها للهجرة.</w:t>
      </w:r>
      <w:r w:rsidRPr="009D647D">
        <w:rPr>
          <w:rFonts w:hint="cs"/>
          <w:b/>
          <w:bCs/>
          <w:spacing w:val="-2"/>
          <w:rtl/>
        </w:rPr>
        <w:t xml:space="preserve"> و</w:t>
      </w:r>
      <w:r w:rsidRPr="009D647D">
        <w:rPr>
          <w:b/>
          <w:bCs/>
          <w:spacing w:val="-2"/>
          <w:rtl/>
        </w:rPr>
        <w:t>تُذكَّر اللجنة بتوصيتيها العامتين رقم</w:t>
      </w:r>
      <w:r w:rsidRPr="009D647D">
        <w:rPr>
          <w:rFonts w:hint="cs"/>
          <w:b/>
          <w:bCs/>
          <w:spacing w:val="-2"/>
          <w:rtl/>
        </w:rPr>
        <w:t> </w:t>
      </w:r>
      <w:r w:rsidRPr="009D647D">
        <w:rPr>
          <w:b/>
          <w:bCs/>
          <w:spacing w:val="-2"/>
          <w:rtl/>
        </w:rPr>
        <w:t xml:space="preserve">22(1996) بشأن المادة 5 من الاتفاقية </w:t>
      </w:r>
      <w:r w:rsidRPr="009D647D">
        <w:rPr>
          <w:rFonts w:hint="cs"/>
          <w:b/>
          <w:bCs/>
          <w:spacing w:val="-2"/>
          <w:rtl/>
        </w:rPr>
        <w:t>المتعلقة ب</w:t>
      </w:r>
      <w:r w:rsidRPr="009D647D">
        <w:rPr>
          <w:b/>
          <w:bCs/>
          <w:spacing w:val="-2"/>
          <w:rtl/>
        </w:rPr>
        <w:t>اللاجئين والمشردين، ورقم 30(2004) بشأن التمييز ضد غير المواطنين، وت</w:t>
      </w:r>
      <w:r w:rsidRPr="009D647D">
        <w:rPr>
          <w:rFonts w:hint="cs"/>
          <w:b/>
          <w:bCs/>
          <w:spacing w:val="-2"/>
          <w:rtl/>
        </w:rPr>
        <w:t xml:space="preserve">حث </w:t>
      </w:r>
      <w:r w:rsidRPr="009D647D">
        <w:rPr>
          <w:b/>
          <w:bCs/>
          <w:spacing w:val="-2"/>
          <w:rtl/>
        </w:rPr>
        <w:t xml:space="preserve">الدولةَ الطرف </w:t>
      </w:r>
      <w:r w:rsidRPr="009D647D">
        <w:rPr>
          <w:rFonts w:hint="cs"/>
          <w:b/>
          <w:bCs/>
          <w:spacing w:val="-2"/>
          <w:rtl/>
        </w:rPr>
        <w:t xml:space="preserve">على </w:t>
      </w:r>
      <w:r w:rsidRPr="009D647D">
        <w:rPr>
          <w:b/>
          <w:bCs/>
          <w:spacing w:val="-2"/>
          <w:rtl/>
        </w:rPr>
        <w:t>ما يلي:</w:t>
      </w:r>
    </w:p>
    <w:p w:rsidR="00FC3308" w:rsidRPr="009D647D" w:rsidRDefault="00FC3308" w:rsidP="00FC3308">
      <w:pPr>
        <w:pStyle w:val="SingleTxtGA"/>
        <w:rPr>
          <w:b/>
          <w:bCs/>
          <w:rtl/>
        </w:rPr>
      </w:pPr>
      <w:r w:rsidRPr="009D647D">
        <w:rPr>
          <w:rtl/>
        </w:rPr>
        <w:lastRenderedPageBreak/>
        <w:tab/>
        <w:t>(أ)</w:t>
      </w:r>
      <w:r w:rsidRPr="009D647D">
        <w:rPr>
          <w:rtl/>
        </w:rPr>
        <w:tab/>
      </w:r>
      <w:r w:rsidRPr="009D647D">
        <w:rPr>
          <w:rFonts w:hint="cs"/>
          <w:b/>
          <w:bCs/>
          <w:rtl/>
        </w:rPr>
        <w:t xml:space="preserve">الامتناع </w:t>
      </w:r>
      <w:r w:rsidRPr="009D647D">
        <w:rPr>
          <w:b/>
          <w:bCs/>
          <w:rtl/>
        </w:rPr>
        <w:t>عن عمليات الإبعاد والإعادة القسرية، و</w:t>
      </w:r>
      <w:r w:rsidRPr="009D647D">
        <w:rPr>
          <w:rFonts w:hint="cs"/>
          <w:b/>
          <w:bCs/>
          <w:rtl/>
        </w:rPr>
        <w:t>إجراء</w:t>
      </w:r>
      <w:r w:rsidRPr="009D647D">
        <w:rPr>
          <w:b/>
          <w:bCs/>
          <w:rtl/>
        </w:rPr>
        <w:t xml:space="preserve"> تقييمات فردية، وضم</w:t>
      </w:r>
      <w:r w:rsidRPr="009D647D">
        <w:rPr>
          <w:rFonts w:hint="cs"/>
          <w:b/>
          <w:bCs/>
          <w:rtl/>
        </w:rPr>
        <w:t>ا</w:t>
      </w:r>
      <w:r w:rsidRPr="009D647D">
        <w:rPr>
          <w:b/>
          <w:bCs/>
          <w:rtl/>
        </w:rPr>
        <w:t>ن توافر ما يكفي من الضمانات الإجرائية، و</w:t>
      </w:r>
      <w:r w:rsidRPr="009D647D">
        <w:rPr>
          <w:rFonts w:hint="cs"/>
          <w:b/>
          <w:bCs/>
          <w:rtl/>
        </w:rPr>
        <w:t>ال</w:t>
      </w:r>
      <w:r w:rsidRPr="009D647D">
        <w:rPr>
          <w:b/>
          <w:bCs/>
          <w:rtl/>
        </w:rPr>
        <w:t>تحق</w:t>
      </w:r>
      <w:r w:rsidRPr="009D647D">
        <w:rPr>
          <w:rFonts w:hint="cs"/>
          <w:b/>
          <w:bCs/>
          <w:rtl/>
        </w:rPr>
        <w:t>ي</w:t>
      </w:r>
      <w:r w:rsidRPr="009D647D">
        <w:rPr>
          <w:b/>
          <w:bCs/>
          <w:rtl/>
        </w:rPr>
        <w:t>ق بفعالية في أي استخدام مفرط للقوة من جانب الموظفين المكلفين بإنفاذ القانون في سياق الهجرة على الحدود أو في مرافق الاحتجاز، وتقديم الجناة إلى العدالة ومعاقبتهم بما يتناسب؛</w:t>
      </w:r>
    </w:p>
    <w:p w:rsidR="00FC3308" w:rsidRPr="009D647D" w:rsidRDefault="00FC3308" w:rsidP="00FC3308">
      <w:pPr>
        <w:pStyle w:val="SingleTxtGA"/>
        <w:rPr>
          <w:b/>
          <w:bCs/>
          <w:rtl/>
        </w:rPr>
      </w:pPr>
      <w:r w:rsidRPr="009D647D">
        <w:rPr>
          <w:rtl/>
        </w:rPr>
        <w:tab/>
        <w:t>(ب)</w:t>
      </w:r>
      <w:r w:rsidRPr="009D647D">
        <w:rPr>
          <w:rtl/>
        </w:rPr>
        <w:tab/>
      </w:r>
      <w:r w:rsidRPr="009D647D">
        <w:rPr>
          <w:b/>
          <w:bCs/>
          <w:rtl/>
        </w:rPr>
        <w:t xml:space="preserve">إسقاط الصفة الجرمية عن العبور غير النظامي للحدود، ووضع سياسات وسبل لتسوية وضع المهاجرين، لا سيما الذين </w:t>
      </w:r>
      <w:r w:rsidRPr="009D647D">
        <w:rPr>
          <w:rFonts w:hint="cs"/>
          <w:b/>
          <w:bCs/>
          <w:rtl/>
        </w:rPr>
        <w:t>هم</w:t>
      </w:r>
      <w:r w:rsidRPr="009D647D">
        <w:rPr>
          <w:b/>
          <w:bCs/>
          <w:rtl/>
        </w:rPr>
        <w:t xml:space="preserve"> في </w:t>
      </w:r>
      <w:r w:rsidRPr="009D647D">
        <w:rPr>
          <w:rFonts w:hint="cs"/>
          <w:b/>
          <w:bCs/>
          <w:rtl/>
        </w:rPr>
        <w:t>حالة</w:t>
      </w:r>
      <w:r w:rsidRPr="009D647D">
        <w:rPr>
          <w:b/>
          <w:bCs/>
          <w:rtl/>
        </w:rPr>
        <w:t xml:space="preserve"> ضعف؛</w:t>
      </w:r>
    </w:p>
    <w:p w:rsidR="00FC3308" w:rsidRPr="009D647D" w:rsidRDefault="00FC3308" w:rsidP="00FC3308">
      <w:pPr>
        <w:pStyle w:val="SingleTxtGA"/>
        <w:rPr>
          <w:b/>
          <w:bCs/>
          <w:rtl/>
        </w:rPr>
      </w:pPr>
      <w:r w:rsidRPr="009D647D">
        <w:rPr>
          <w:rtl/>
        </w:rPr>
        <w:tab/>
        <w:t>(ج)</w:t>
      </w:r>
      <w:r w:rsidRPr="009D647D">
        <w:rPr>
          <w:rtl/>
        </w:rPr>
        <w:tab/>
      </w:r>
      <w:r w:rsidRPr="009D647D">
        <w:rPr>
          <w:b/>
          <w:bCs/>
          <w:rtl/>
        </w:rPr>
        <w:t>زيادة مخصصات الوكالة الحكومية للاجئين لتمكينها من الاضطلاع بمهامها بفعالية، واستئناف تسديد مبلغ شهري ملائم لجميع ملتمسي اللجوء المقيمين في مراكز الاستقبال؛</w:t>
      </w:r>
    </w:p>
    <w:p w:rsidR="00FC3308" w:rsidRPr="009D647D" w:rsidRDefault="00FC3308" w:rsidP="00FC3308">
      <w:pPr>
        <w:pStyle w:val="SingleTxtGA"/>
        <w:rPr>
          <w:b/>
          <w:bCs/>
          <w:rtl/>
        </w:rPr>
      </w:pPr>
      <w:r w:rsidRPr="009D647D">
        <w:rPr>
          <w:rtl/>
        </w:rPr>
        <w:tab/>
        <w:t>(د)</w:t>
      </w:r>
      <w:r w:rsidRPr="009D647D">
        <w:rPr>
          <w:rtl/>
        </w:rPr>
        <w:tab/>
      </w:r>
      <w:r w:rsidRPr="009D647D">
        <w:rPr>
          <w:b/>
          <w:bCs/>
          <w:rtl/>
        </w:rPr>
        <w:t xml:space="preserve">وضع إجراءات تسمح بتحديد الأشخاص الذين </w:t>
      </w:r>
      <w:r w:rsidRPr="009D647D">
        <w:rPr>
          <w:rFonts w:hint="cs"/>
          <w:b/>
          <w:bCs/>
          <w:rtl/>
        </w:rPr>
        <w:t xml:space="preserve">هم </w:t>
      </w:r>
      <w:r w:rsidRPr="009D647D">
        <w:rPr>
          <w:b/>
          <w:bCs/>
          <w:rtl/>
        </w:rPr>
        <w:t xml:space="preserve">في </w:t>
      </w:r>
      <w:r w:rsidRPr="009D647D">
        <w:rPr>
          <w:rFonts w:hint="cs"/>
          <w:b/>
          <w:bCs/>
          <w:rtl/>
        </w:rPr>
        <w:t>حالة</w:t>
      </w:r>
      <w:r w:rsidRPr="009D647D">
        <w:rPr>
          <w:b/>
          <w:bCs/>
          <w:rtl/>
        </w:rPr>
        <w:t xml:space="preserve"> ضعف</w:t>
      </w:r>
      <w:r w:rsidRPr="009D647D">
        <w:rPr>
          <w:rFonts w:hint="cs"/>
          <w:b/>
          <w:bCs/>
          <w:rtl/>
        </w:rPr>
        <w:t xml:space="preserve"> بطريقة سريعة ومناسبة</w:t>
      </w:r>
      <w:r w:rsidRPr="009D647D">
        <w:rPr>
          <w:b/>
          <w:bCs/>
          <w:rtl/>
        </w:rPr>
        <w:t>، وضمان تدريب الموظفين على إجراءات تحديد هوي</w:t>
      </w:r>
      <w:r w:rsidRPr="009D647D">
        <w:rPr>
          <w:rFonts w:hint="cs"/>
          <w:b/>
          <w:bCs/>
          <w:rtl/>
        </w:rPr>
        <w:t>اتهم</w:t>
      </w:r>
      <w:r w:rsidRPr="009D647D">
        <w:rPr>
          <w:b/>
          <w:bCs/>
          <w:rtl/>
        </w:rPr>
        <w:t>، وإحال</w:t>
      </w:r>
      <w:r w:rsidRPr="009D647D">
        <w:rPr>
          <w:rFonts w:hint="cs"/>
          <w:b/>
          <w:bCs/>
          <w:rtl/>
        </w:rPr>
        <w:t xml:space="preserve">تهم </w:t>
      </w:r>
      <w:r w:rsidRPr="009D647D">
        <w:rPr>
          <w:b/>
          <w:bCs/>
          <w:rtl/>
        </w:rPr>
        <w:t xml:space="preserve">بطريقة محترمة، وضمان توافر </w:t>
      </w:r>
      <w:r w:rsidRPr="009D647D">
        <w:rPr>
          <w:rFonts w:hint="cs"/>
          <w:b/>
          <w:bCs/>
          <w:rtl/>
        </w:rPr>
        <w:t>فرادى ال</w:t>
      </w:r>
      <w:r w:rsidRPr="009D647D">
        <w:rPr>
          <w:b/>
          <w:bCs/>
          <w:rtl/>
        </w:rPr>
        <w:t xml:space="preserve">أوصياء </w:t>
      </w:r>
      <w:r w:rsidRPr="009D647D">
        <w:rPr>
          <w:rFonts w:hint="cs"/>
          <w:b/>
          <w:bCs/>
          <w:rtl/>
        </w:rPr>
        <w:t>ال</w:t>
      </w:r>
      <w:r w:rsidRPr="009D647D">
        <w:rPr>
          <w:b/>
          <w:bCs/>
          <w:rtl/>
        </w:rPr>
        <w:t xml:space="preserve">شرعيين </w:t>
      </w:r>
      <w:r w:rsidRPr="009D647D">
        <w:rPr>
          <w:rFonts w:hint="cs"/>
          <w:b/>
          <w:bCs/>
          <w:rtl/>
        </w:rPr>
        <w:t>ال</w:t>
      </w:r>
      <w:r w:rsidRPr="009D647D">
        <w:rPr>
          <w:b/>
          <w:bCs/>
          <w:rtl/>
        </w:rPr>
        <w:t>مؤهلين لجميع الأطفال غير المصحوبين بذويهم</w:t>
      </w:r>
      <w:r w:rsidRPr="009D647D">
        <w:rPr>
          <w:rFonts w:hint="cs"/>
          <w:b/>
          <w:bCs/>
          <w:rtl/>
        </w:rPr>
        <w:t>،</w:t>
      </w:r>
      <w:r w:rsidRPr="009D647D">
        <w:rPr>
          <w:b/>
          <w:bCs/>
          <w:rtl/>
        </w:rPr>
        <w:t xml:space="preserve"> وتعزيز القدرات البشرية والمالية للبلديات تحقيقا</w:t>
      </w:r>
      <w:r>
        <w:rPr>
          <w:b/>
          <w:bCs/>
          <w:rtl/>
        </w:rPr>
        <w:t>ً</w:t>
      </w:r>
      <w:r w:rsidRPr="009D647D">
        <w:rPr>
          <w:b/>
          <w:bCs/>
          <w:rtl/>
        </w:rPr>
        <w:t xml:space="preserve"> لهذه الغاية؛</w:t>
      </w:r>
    </w:p>
    <w:p w:rsidR="00FC3308" w:rsidRPr="009D647D" w:rsidRDefault="00FC3308" w:rsidP="00FC3308">
      <w:pPr>
        <w:pStyle w:val="SingleTxtGA"/>
        <w:rPr>
          <w:b/>
          <w:bCs/>
          <w:rtl/>
        </w:rPr>
      </w:pPr>
      <w:r w:rsidRPr="009D647D">
        <w:rPr>
          <w:rFonts w:hint="cs"/>
          <w:rtl/>
        </w:rPr>
        <w:tab/>
      </w:r>
      <w:r w:rsidRPr="009D647D">
        <w:rPr>
          <w:rtl/>
        </w:rPr>
        <w:t>(ه)</w:t>
      </w:r>
      <w:r w:rsidRPr="009D647D">
        <w:rPr>
          <w:rFonts w:hint="cs"/>
          <w:rtl/>
        </w:rPr>
        <w:tab/>
      </w:r>
      <w:r w:rsidRPr="009D647D">
        <w:rPr>
          <w:b/>
          <w:bCs/>
          <w:rtl/>
        </w:rPr>
        <w:t xml:space="preserve">وقف </w:t>
      </w:r>
      <w:r w:rsidRPr="009D647D">
        <w:rPr>
          <w:rFonts w:hint="cs"/>
          <w:b/>
          <w:bCs/>
          <w:rtl/>
        </w:rPr>
        <w:t xml:space="preserve">ممارسة </w:t>
      </w:r>
      <w:r w:rsidRPr="009D647D">
        <w:rPr>
          <w:b/>
          <w:bCs/>
          <w:rtl/>
        </w:rPr>
        <w:t xml:space="preserve">وضع ملتمسي اللجوء غير الموثقين </w:t>
      </w:r>
      <w:r w:rsidRPr="009D647D">
        <w:rPr>
          <w:rFonts w:hint="cs"/>
          <w:b/>
          <w:bCs/>
          <w:rtl/>
        </w:rPr>
        <w:t>رهن</w:t>
      </w:r>
      <w:r w:rsidRPr="009D647D">
        <w:rPr>
          <w:b/>
          <w:bCs/>
          <w:rtl/>
        </w:rPr>
        <w:t xml:space="preserve"> الاحتجاز الإلزامي، والنظر في وضع بدائل للاحتجاز و</w:t>
      </w:r>
      <w:r w:rsidRPr="009D647D">
        <w:rPr>
          <w:rFonts w:hint="cs"/>
          <w:b/>
          <w:bCs/>
          <w:rtl/>
        </w:rPr>
        <w:t xml:space="preserve">في الوقت نفسه </w:t>
      </w:r>
      <w:r w:rsidRPr="009D647D">
        <w:rPr>
          <w:b/>
          <w:bCs/>
          <w:rtl/>
        </w:rPr>
        <w:t xml:space="preserve">ضمان </w:t>
      </w:r>
      <w:r w:rsidRPr="009D647D">
        <w:rPr>
          <w:rFonts w:hint="cs"/>
          <w:b/>
          <w:bCs/>
          <w:rtl/>
        </w:rPr>
        <w:t xml:space="preserve">تمتع </w:t>
      </w:r>
      <w:r w:rsidRPr="009D647D">
        <w:rPr>
          <w:b/>
          <w:bCs/>
          <w:rtl/>
        </w:rPr>
        <w:t xml:space="preserve">المحتجزين </w:t>
      </w:r>
      <w:r w:rsidRPr="009D647D">
        <w:rPr>
          <w:rFonts w:hint="cs"/>
          <w:b/>
          <w:bCs/>
          <w:rtl/>
        </w:rPr>
        <w:t>با</w:t>
      </w:r>
      <w:r w:rsidRPr="009D647D">
        <w:rPr>
          <w:b/>
          <w:bCs/>
          <w:rtl/>
        </w:rPr>
        <w:t>لإجراءات القانونية الواجبة و</w:t>
      </w:r>
      <w:r w:rsidRPr="009D647D">
        <w:rPr>
          <w:rFonts w:hint="cs"/>
          <w:b/>
          <w:bCs/>
          <w:rtl/>
        </w:rPr>
        <w:t>ب</w:t>
      </w:r>
      <w:r w:rsidRPr="009D647D">
        <w:rPr>
          <w:b/>
          <w:bCs/>
          <w:rtl/>
        </w:rPr>
        <w:t xml:space="preserve">ضمانات </w:t>
      </w:r>
      <w:r w:rsidRPr="009D647D">
        <w:rPr>
          <w:rFonts w:hint="cs"/>
          <w:b/>
          <w:bCs/>
          <w:rtl/>
        </w:rPr>
        <w:t>ال</w:t>
      </w:r>
      <w:r w:rsidRPr="009D647D">
        <w:rPr>
          <w:b/>
          <w:bCs/>
          <w:rtl/>
        </w:rPr>
        <w:t xml:space="preserve">محاكمة </w:t>
      </w:r>
      <w:r w:rsidRPr="009D647D">
        <w:rPr>
          <w:rFonts w:hint="cs"/>
          <w:b/>
          <w:bCs/>
          <w:rtl/>
        </w:rPr>
        <w:t>ال</w:t>
      </w:r>
      <w:r w:rsidRPr="009D647D">
        <w:rPr>
          <w:b/>
          <w:bCs/>
          <w:rtl/>
        </w:rPr>
        <w:t xml:space="preserve">عادلة، ومواصلة تحسين القدرات والظروف المادية في مراكز الاستقبال، وكفالة </w:t>
      </w:r>
      <w:r w:rsidRPr="009D647D">
        <w:rPr>
          <w:rFonts w:hint="cs"/>
          <w:b/>
          <w:bCs/>
          <w:rtl/>
        </w:rPr>
        <w:t xml:space="preserve">حصول </w:t>
      </w:r>
      <w:r w:rsidRPr="009D647D">
        <w:rPr>
          <w:b/>
          <w:bCs/>
          <w:rtl/>
        </w:rPr>
        <w:t>جميع ملتمسي اللجوء على الخدمات الأساسية، بما في ذلك الرعاية الصحية، والمساعدة النفسية، والتعليم؛</w:t>
      </w:r>
    </w:p>
    <w:p w:rsidR="00FC3308" w:rsidRPr="009D647D" w:rsidRDefault="00FC3308" w:rsidP="00FC3308">
      <w:pPr>
        <w:pStyle w:val="SingleTxtGA"/>
        <w:rPr>
          <w:b/>
          <w:bCs/>
          <w:rtl/>
        </w:rPr>
      </w:pPr>
      <w:r w:rsidRPr="009D647D">
        <w:rPr>
          <w:rtl/>
        </w:rPr>
        <w:tab/>
        <w:t>(و)</w:t>
      </w:r>
      <w:r w:rsidRPr="009D647D">
        <w:rPr>
          <w:rtl/>
        </w:rPr>
        <w:tab/>
      </w:r>
      <w:r w:rsidRPr="009D647D">
        <w:rPr>
          <w:b/>
          <w:bCs/>
          <w:rtl/>
        </w:rPr>
        <w:t>تكثيف جهود إدماج المستفيدين من الحماية الدولية، بما في ذلك عن طريق تيسير حصولهم على سكن اجتماعي وتدريب لغوي، بغية ضمان قدرتهم على التمتع بحقوقهم الاجتماعية والاقتصادية، وتنفيذ الاستراتيجية الوطنية المتعلقة بالهجرة واللجوء وال</w:t>
      </w:r>
      <w:r w:rsidRPr="009D647D">
        <w:rPr>
          <w:rFonts w:hint="cs"/>
          <w:b/>
          <w:bCs/>
          <w:rtl/>
        </w:rPr>
        <w:t>ان</w:t>
      </w:r>
      <w:r w:rsidRPr="009D647D">
        <w:rPr>
          <w:b/>
          <w:bCs/>
          <w:rtl/>
        </w:rPr>
        <w:t>دماج تنفيذا</w:t>
      </w:r>
      <w:r>
        <w:rPr>
          <w:b/>
          <w:bCs/>
          <w:rtl/>
        </w:rPr>
        <w:t>ً</w:t>
      </w:r>
      <w:r w:rsidRPr="009D647D">
        <w:rPr>
          <w:b/>
          <w:bCs/>
          <w:rtl/>
        </w:rPr>
        <w:t xml:space="preserve"> فعالا</w:t>
      </w:r>
      <w:r>
        <w:rPr>
          <w:b/>
          <w:bCs/>
          <w:rtl/>
        </w:rPr>
        <w:t>ً</w:t>
      </w:r>
      <w:r w:rsidRPr="009D647D">
        <w:rPr>
          <w:b/>
          <w:bCs/>
          <w:rtl/>
        </w:rPr>
        <w:t xml:space="preserve"> تحقيقا</w:t>
      </w:r>
      <w:r>
        <w:rPr>
          <w:b/>
          <w:bCs/>
          <w:rtl/>
        </w:rPr>
        <w:t>ً</w:t>
      </w:r>
      <w:r w:rsidRPr="009D647D">
        <w:rPr>
          <w:b/>
          <w:bCs/>
          <w:rtl/>
        </w:rPr>
        <w:t xml:space="preserve"> لهذه الغاية.</w:t>
      </w:r>
      <w:bookmarkStart w:id="13" w:name="_Toc483922865"/>
    </w:p>
    <w:p w:rsidR="00FC3308" w:rsidRPr="009D647D" w:rsidRDefault="00FC3308" w:rsidP="00FC3308">
      <w:pPr>
        <w:pStyle w:val="H1GA"/>
        <w:rPr>
          <w:rtl/>
        </w:rPr>
      </w:pPr>
      <w:r w:rsidRPr="009D647D">
        <w:rPr>
          <w:rtl/>
        </w:rPr>
        <w:tab/>
        <w:t>دال-</w:t>
      </w:r>
      <w:r w:rsidRPr="009D647D">
        <w:rPr>
          <w:rtl/>
        </w:rPr>
        <w:tab/>
        <w:t>توصيات أخرى</w:t>
      </w:r>
      <w:bookmarkStart w:id="14" w:name="_Toc483922866"/>
      <w:bookmarkEnd w:id="13"/>
    </w:p>
    <w:p w:rsidR="00FC3308" w:rsidRPr="009D647D" w:rsidRDefault="00FC3308" w:rsidP="00FC3308">
      <w:pPr>
        <w:pStyle w:val="H23GA"/>
        <w:rPr>
          <w:rtl/>
        </w:rPr>
      </w:pPr>
      <w:r w:rsidRPr="009D647D">
        <w:rPr>
          <w:rFonts w:hint="cs"/>
          <w:rtl/>
        </w:rPr>
        <w:tab/>
      </w:r>
      <w:r w:rsidRPr="009D647D">
        <w:rPr>
          <w:rFonts w:hint="cs"/>
          <w:rtl/>
        </w:rPr>
        <w:tab/>
      </w:r>
      <w:r w:rsidRPr="009D647D">
        <w:rPr>
          <w:rtl/>
        </w:rPr>
        <w:t>التصديق على معاهدات أخرى</w:t>
      </w:r>
      <w:bookmarkEnd w:id="14"/>
    </w:p>
    <w:p w:rsidR="00FC3308" w:rsidRPr="009D647D" w:rsidRDefault="00FC3308" w:rsidP="00FC3308">
      <w:pPr>
        <w:pStyle w:val="SingleTxtGA"/>
        <w:rPr>
          <w:b/>
          <w:bCs/>
          <w:rtl/>
        </w:rPr>
      </w:pPr>
      <w:r w:rsidRPr="009D647D">
        <w:rPr>
          <w:rtl/>
        </w:rPr>
        <w:t>23-</w:t>
      </w:r>
      <w:r w:rsidRPr="009D647D">
        <w:rPr>
          <w:rtl/>
        </w:rPr>
        <w:tab/>
      </w:r>
      <w:r w:rsidRPr="009D647D">
        <w:rPr>
          <w:rFonts w:hint="cs"/>
          <w:b/>
          <w:bCs/>
          <w:rtl/>
        </w:rPr>
        <w:t xml:space="preserve">إن </w:t>
      </w:r>
      <w:r w:rsidRPr="009D647D">
        <w:rPr>
          <w:b/>
          <w:bCs/>
          <w:rtl/>
        </w:rPr>
        <w:t>اللجنة</w:t>
      </w:r>
      <w:r w:rsidRPr="009D647D">
        <w:rPr>
          <w:rFonts w:hint="cs"/>
          <w:b/>
          <w:bCs/>
          <w:rtl/>
        </w:rPr>
        <w:t>، إذ تضع في اعتبارها</w:t>
      </w:r>
      <w:r w:rsidRPr="009D647D">
        <w:rPr>
          <w:b/>
          <w:bCs/>
          <w:rtl/>
        </w:rPr>
        <w:t xml:space="preserve"> أن جميع حقوق الإنسان غير قابلة للتجز</w:t>
      </w:r>
      <w:r w:rsidRPr="009D647D">
        <w:rPr>
          <w:rFonts w:hint="cs"/>
          <w:b/>
          <w:bCs/>
          <w:rtl/>
        </w:rPr>
        <w:t>ؤ</w:t>
      </w:r>
      <w:r w:rsidRPr="009D647D">
        <w:rPr>
          <w:b/>
          <w:bCs/>
          <w:rtl/>
        </w:rPr>
        <w:t>، تشجع الدولة الطرف على النظر في التصديق على المعاهدات الدولية لحقوق الإنسان التي لم تصدق عليها بعد، لا سيما المعاهدات ذات الأحكام التي لها صلة مباشرة بالفئات التي قد تتعرض للتمييز العنصري، مثل الاتفاقية الدولية لحماية حقوق جميع العمال المهاجرين وأفراد أسرهم، واتفاقية منظمة العمل الدولية بشأن العمال المنزليين</w:t>
      </w:r>
      <w:r w:rsidRPr="009D647D">
        <w:rPr>
          <w:rFonts w:hint="cs"/>
          <w:b/>
          <w:bCs/>
          <w:rtl/>
        </w:rPr>
        <w:t>،</w:t>
      </w:r>
      <w:r>
        <w:rPr>
          <w:rFonts w:hint="cs"/>
          <w:b/>
          <w:bCs/>
          <w:rtl/>
        </w:rPr>
        <w:t> </w:t>
      </w:r>
      <w:r w:rsidRPr="009D647D">
        <w:rPr>
          <w:b/>
          <w:bCs/>
          <w:rtl/>
        </w:rPr>
        <w:t>2011 (رقم 189).</w:t>
      </w:r>
      <w:bookmarkStart w:id="15" w:name="_Toc483922867"/>
    </w:p>
    <w:p w:rsidR="00FC3308" w:rsidRPr="009D647D" w:rsidRDefault="00FC3308" w:rsidP="00FC3308">
      <w:pPr>
        <w:pStyle w:val="H23GA"/>
        <w:rPr>
          <w:rtl/>
        </w:rPr>
      </w:pPr>
      <w:r w:rsidRPr="009D647D">
        <w:rPr>
          <w:rFonts w:hint="cs"/>
          <w:rtl/>
        </w:rPr>
        <w:lastRenderedPageBreak/>
        <w:tab/>
      </w:r>
      <w:r w:rsidRPr="009D647D">
        <w:rPr>
          <w:rFonts w:hint="cs"/>
          <w:rtl/>
        </w:rPr>
        <w:tab/>
      </w:r>
      <w:r w:rsidRPr="009D647D">
        <w:rPr>
          <w:rtl/>
        </w:rPr>
        <w:t>متابعة إعلان وبرنامج عمل ديربان</w:t>
      </w:r>
      <w:bookmarkEnd w:id="15"/>
    </w:p>
    <w:p w:rsidR="00FC3308" w:rsidRPr="009D647D" w:rsidRDefault="00FC3308" w:rsidP="00FC3308">
      <w:pPr>
        <w:pStyle w:val="SingleTxtGA"/>
        <w:rPr>
          <w:b/>
          <w:bCs/>
          <w:spacing w:val="-4"/>
          <w:rtl/>
        </w:rPr>
      </w:pPr>
      <w:r w:rsidRPr="009D647D">
        <w:rPr>
          <w:spacing w:val="-4"/>
          <w:rtl/>
        </w:rPr>
        <w:t>24-</w:t>
      </w:r>
      <w:r w:rsidRPr="009D647D">
        <w:rPr>
          <w:spacing w:val="-4"/>
          <w:rtl/>
        </w:rPr>
        <w:tab/>
      </w:r>
      <w:r w:rsidRPr="009D647D">
        <w:rPr>
          <w:b/>
          <w:bCs/>
          <w:spacing w:val="-4"/>
          <w:rtl/>
        </w:rPr>
        <w:t>توصي اللجنة، في ضوء توصيتها العامة رقم 33(2009) بشأن متابعة مؤتمر استعراض ديربان، بأن تفعِّل الدولة الطرف، في سياق إدماج الاتفاقية في نظامها القانوني المحلي، إعلان وبرنامج عمل ديربان الذي اعتمده في أيلول/سبتمبر 2001 المؤتمر العالمي لمكافحة العنصرية والتمييز العنصري وكره الأجانب وما يتصل بذلك من تعصب، مع مراعاة الوثيقة الختامية لمؤتمر استعراض ديربان المعقود في جنيف في نيسان/أبريل 2009</w:t>
      </w:r>
      <w:r w:rsidRPr="009D647D">
        <w:rPr>
          <w:rFonts w:hint="cs"/>
          <w:b/>
          <w:bCs/>
          <w:spacing w:val="-4"/>
          <w:rtl/>
        </w:rPr>
        <w:t xml:space="preserve">. </w:t>
      </w:r>
      <w:r w:rsidRPr="009D647D">
        <w:rPr>
          <w:b/>
          <w:bCs/>
          <w:spacing w:val="-4"/>
          <w:rtl/>
        </w:rPr>
        <w:t>وتطلب اللجنة أن تدرج الدولة الطرف في تقريرها الدوري المقبل معلومات محددة عن خطط العمل والتدابير الأخرى المتخذة لتنفيذ إعلان وبرنامج عمل ديربان على الصعيد الوطني.</w:t>
      </w:r>
      <w:bookmarkStart w:id="16" w:name="_Toc483922868"/>
    </w:p>
    <w:p w:rsidR="00FC3308" w:rsidRPr="009D647D" w:rsidRDefault="00FC3308" w:rsidP="00FC3308">
      <w:pPr>
        <w:pStyle w:val="H23GA"/>
        <w:rPr>
          <w:rtl/>
        </w:rPr>
      </w:pPr>
      <w:r w:rsidRPr="009D647D">
        <w:rPr>
          <w:rFonts w:hint="cs"/>
          <w:rtl/>
        </w:rPr>
        <w:tab/>
      </w:r>
      <w:r w:rsidRPr="009D647D">
        <w:rPr>
          <w:rFonts w:hint="cs"/>
          <w:rtl/>
        </w:rPr>
        <w:tab/>
      </w:r>
      <w:r w:rsidRPr="009D647D">
        <w:rPr>
          <w:rtl/>
        </w:rPr>
        <w:t>العقد الدولي للمنحدرين من أصل أفريقي</w:t>
      </w:r>
      <w:bookmarkEnd w:id="16"/>
    </w:p>
    <w:p w:rsidR="00FC3308" w:rsidRPr="009D647D" w:rsidRDefault="00FC3308" w:rsidP="00FC3308">
      <w:pPr>
        <w:pStyle w:val="SingleTxtGA"/>
        <w:rPr>
          <w:b/>
          <w:bCs/>
          <w:rtl/>
        </w:rPr>
      </w:pPr>
      <w:r w:rsidRPr="009D647D">
        <w:rPr>
          <w:rtl/>
        </w:rPr>
        <w:t>25-</w:t>
      </w:r>
      <w:r w:rsidRPr="009D647D">
        <w:rPr>
          <w:rtl/>
        </w:rPr>
        <w:tab/>
      </w:r>
      <w:r w:rsidRPr="009D647D">
        <w:rPr>
          <w:b/>
          <w:bCs/>
          <w:rtl/>
        </w:rPr>
        <w:t>في ضوء قرار الجمعية العامة 68/237 الذي أعلنت فيه الجمعية</w:t>
      </w:r>
      <w:r w:rsidRPr="009D647D">
        <w:rPr>
          <w:rFonts w:hint="cs"/>
          <w:b/>
          <w:bCs/>
          <w:rtl/>
        </w:rPr>
        <w:t xml:space="preserve"> العامة</w:t>
      </w:r>
      <w:r w:rsidRPr="009D647D">
        <w:rPr>
          <w:b/>
          <w:bCs/>
          <w:rtl/>
        </w:rPr>
        <w:t xml:space="preserve"> فترة</w:t>
      </w:r>
      <w:r>
        <w:rPr>
          <w:rFonts w:hint="cs"/>
          <w:b/>
          <w:bCs/>
          <w:rtl/>
        </w:rPr>
        <w:t> </w:t>
      </w:r>
      <w:r w:rsidRPr="009D647D">
        <w:rPr>
          <w:b/>
          <w:bCs/>
          <w:rtl/>
        </w:rPr>
        <w:t>2015-2024 عقداً دولياً للمنحدرين من أصل أفريقي، وقرار الجمعية</w:t>
      </w:r>
      <w:r w:rsidRPr="009D647D">
        <w:rPr>
          <w:rFonts w:hint="cs"/>
          <w:b/>
          <w:bCs/>
          <w:rtl/>
        </w:rPr>
        <w:t xml:space="preserve"> العامة</w:t>
      </w:r>
      <w:r>
        <w:rPr>
          <w:rFonts w:hint="cs"/>
          <w:b/>
          <w:bCs/>
          <w:rtl/>
        </w:rPr>
        <w:t> </w:t>
      </w:r>
      <w:r w:rsidRPr="009D647D">
        <w:rPr>
          <w:b/>
          <w:bCs/>
          <w:rtl/>
        </w:rPr>
        <w:t xml:space="preserve">69/16 بشأن برنامج الأنشطة لتنفيذ العقد، توصي اللجنة بأن تُعد الدولة الطرف وتُنفذ برنامجاً مناسباً </w:t>
      </w:r>
      <w:r w:rsidRPr="009D647D">
        <w:rPr>
          <w:rFonts w:hint="cs"/>
          <w:b/>
          <w:bCs/>
          <w:rtl/>
        </w:rPr>
        <w:t>من ا</w:t>
      </w:r>
      <w:r w:rsidRPr="009D647D">
        <w:rPr>
          <w:b/>
          <w:bCs/>
          <w:rtl/>
        </w:rPr>
        <w:t>لتدابير والسياسات. وتطلب اللجنة إلى الدولة الطرف أن تدرج في تقريرها المقبل معلومات محددة بشأن التدابير الملموسة التي تكون قد اعتمدتها في هذا الإطار، مع مراعاة توصيتها العامة رقم 34(2011) بشأن التمييز العنصري ضد السكان المنحدرين من أصل أفريقي.</w:t>
      </w:r>
      <w:bookmarkStart w:id="17" w:name="_Toc483922869"/>
    </w:p>
    <w:p w:rsidR="00FC3308" w:rsidRPr="009D647D" w:rsidRDefault="00FC3308" w:rsidP="00FC3308">
      <w:pPr>
        <w:pStyle w:val="H23GA"/>
        <w:rPr>
          <w:rtl/>
        </w:rPr>
      </w:pPr>
      <w:r w:rsidRPr="009D647D">
        <w:rPr>
          <w:rFonts w:hint="cs"/>
          <w:rtl/>
        </w:rPr>
        <w:tab/>
      </w:r>
      <w:r w:rsidRPr="009D647D">
        <w:rPr>
          <w:rFonts w:hint="cs"/>
          <w:rtl/>
        </w:rPr>
        <w:tab/>
      </w:r>
      <w:r w:rsidRPr="009D647D">
        <w:rPr>
          <w:rtl/>
        </w:rPr>
        <w:t>المشاورات مع المجتمع المدني</w:t>
      </w:r>
      <w:bookmarkEnd w:id="17"/>
    </w:p>
    <w:p w:rsidR="00FC3308" w:rsidRPr="009D647D" w:rsidRDefault="00FC3308" w:rsidP="00FC3308">
      <w:pPr>
        <w:pStyle w:val="SingleTxtGA"/>
        <w:rPr>
          <w:b/>
          <w:bCs/>
          <w:rtl/>
        </w:rPr>
      </w:pPr>
      <w:r w:rsidRPr="009D647D">
        <w:rPr>
          <w:rtl/>
        </w:rPr>
        <w:t>26-</w:t>
      </w:r>
      <w:r w:rsidRPr="009D647D">
        <w:rPr>
          <w:rtl/>
        </w:rPr>
        <w:tab/>
      </w:r>
      <w:r w:rsidRPr="009D647D">
        <w:rPr>
          <w:b/>
          <w:bCs/>
          <w:rtl/>
        </w:rPr>
        <w:t>توصي اللجنة الدولة الطرف بمواصلة التشاور وتعزيز ح</w:t>
      </w:r>
      <w:r w:rsidRPr="009D647D">
        <w:rPr>
          <w:rFonts w:hint="cs"/>
          <w:b/>
          <w:bCs/>
          <w:rtl/>
        </w:rPr>
        <w:t>وارها</w:t>
      </w:r>
      <w:r w:rsidRPr="009D647D">
        <w:rPr>
          <w:b/>
          <w:bCs/>
          <w:rtl/>
        </w:rPr>
        <w:t xml:space="preserve"> مع منظمات المجتمع المدني العاملة في مجال حماية حقوق الإنسان، لا سيما المنظمات التي تعمل على مكافحة التمييز العنصري، في سياق إعداد التقرير الدوري المقبل ومتابعة هذه الملاحظات الختامية.</w:t>
      </w:r>
      <w:bookmarkStart w:id="18" w:name="_Toc483922870"/>
    </w:p>
    <w:p w:rsidR="00FC3308" w:rsidRPr="009D647D" w:rsidRDefault="00FC3308" w:rsidP="00FC3308">
      <w:pPr>
        <w:pStyle w:val="H23GA"/>
        <w:rPr>
          <w:rtl/>
        </w:rPr>
      </w:pPr>
      <w:r w:rsidRPr="009D647D">
        <w:rPr>
          <w:rFonts w:hint="cs"/>
          <w:rtl/>
        </w:rPr>
        <w:tab/>
      </w:r>
      <w:r w:rsidRPr="009D647D">
        <w:rPr>
          <w:rFonts w:hint="cs"/>
          <w:rtl/>
        </w:rPr>
        <w:tab/>
      </w:r>
      <w:r w:rsidRPr="009D647D">
        <w:rPr>
          <w:rtl/>
        </w:rPr>
        <w:t>نشر المعلومات</w:t>
      </w:r>
      <w:bookmarkEnd w:id="18"/>
    </w:p>
    <w:p w:rsidR="00FC3308" w:rsidRPr="009D647D" w:rsidRDefault="00FC3308" w:rsidP="00FC3308">
      <w:pPr>
        <w:pStyle w:val="SingleTxtGA"/>
        <w:rPr>
          <w:b/>
          <w:bCs/>
          <w:rtl/>
        </w:rPr>
      </w:pPr>
      <w:r w:rsidRPr="009D647D">
        <w:rPr>
          <w:rtl/>
        </w:rPr>
        <w:t>27-</w:t>
      </w:r>
      <w:r w:rsidRPr="009D647D">
        <w:rPr>
          <w:rtl/>
        </w:rPr>
        <w:tab/>
      </w:r>
      <w:r w:rsidRPr="009D647D">
        <w:rPr>
          <w:b/>
          <w:bCs/>
          <w:rtl/>
        </w:rPr>
        <w:t>توصي اللجنة الدولة الطرف بأن تتيح تقاريرها لعامة الجمهور فور تقديمها، وبأن تنشر كذلك الملاحظات الختامية للجنة بشأن هذه التقارير باللغات الرسمية وغيرها من اللغات الشائعة الاستخدام، حسب الاقتضاء.</w:t>
      </w:r>
      <w:bookmarkStart w:id="19" w:name="_Toc483922871"/>
    </w:p>
    <w:p w:rsidR="00FC3308" w:rsidRPr="009D647D" w:rsidRDefault="00FC3308" w:rsidP="00FC3308">
      <w:pPr>
        <w:pStyle w:val="H23GA"/>
        <w:rPr>
          <w:rtl/>
        </w:rPr>
      </w:pPr>
      <w:r w:rsidRPr="009D647D">
        <w:rPr>
          <w:rFonts w:hint="cs"/>
          <w:rtl/>
        </w:rPr>
        <w:tab/>
      </w:r>
      <w:r w:rsidRPr="009D647D">
        <w:rPr>
          <w:rFonts w:hint="cs"/>
          <w:rtl/>
        </w:rPr>
        <w:tab/>
      </w:r>
      <w:r w:rsidRPr="009D647D">
        <w:rPr>
          <w:rtl/>
        </w:rPr>
        <w:t>متابعة هذه الملاحظات الختامية</w:t>
      </w:r>
      <w:bookmarkEnd w:id="19"/>
    </w:p>
    <w:p w:rsidR="00FC3308" w:rsidRPr="009D647D" w:rsidRDefault="00FC3308" w:rsidP="00FC3308">
      <w:pPr>
        <w:pStyle w:val="SingleTxtGA"/>
        <w:rPr>
          <w:b/>
          <w:bCs/>
          <w:rtl/>
        </w:rPr>
      </w:pPr>
      <w:r w:rsidRPr="009D647D">
        <w:rPr>
          <w:rtl/>
        </w:rPr>
        <w:t>28-</w:t>
      </w:r>
      <w:r w:rsidRPr="009D647D">
        <w:rPr>
          <w:rtl/>
        </w:rPr>
        <w:tab/>
      </w:r>
      <w:r w:rsidRPr="009D647D">
        <w:rPr>
          <w:b/>
          <w:bCs/>
          <w:rtl/>
        </w:rPr>
        <w:t xml:space="preserve">عملاً بالفقرة 1 من المادة 9 من الاتفاقية والمادة 65 من نظامها الداخلي، تطلب اللجنة </w:t>
      </w:r>
      <w:r w:rsidRPr="009D647D">
        <w:rPr>
          <w:rFonts w:hint="cs"/>
          <w:b/>
          <w:bCs/>
          <w:rtl/>
        </w:rPr>
        <w:t>إلى</w:t>
      </w:r>
      <w:r w:rsidRPr="009D647D">
        <w:rPr>
          <w:b/>
          <w:bCs/>
          <w:rtl/>
        </w:rPr>
        <w:t xml:space="preserve"> الدولة الطرف أن توافيها</w:t>
      </w:r>
      <w:r w:rsidRPr="009D647D">
        <w:rPr>
          <w:rFonts w:hint="cs"/>
          <w:b/>
          <w:bCs/>
          <w:rtl/>
        </w:rPr>
        <w:t>،</w:t>
      </w:r>
      <w:r w:rsidRPr="009D647D">
        <w:rPr>
          <w:b/>
          <w:bCs/>
          <w:rtl/>
        </w:rPr>
        <w:t xml:space="preserve"> في غضون سنة واحدة من اعتماد هذه الملاحظات الختامية، بمعلومات عن تنفيذها التوصي</w:t>
      </w:r>
      <w:r w:rsidRPr="009D647D">
        <w:rPr>
          <w:rFonts w:hint="cs"/>
          <w:b/>
          <w:bCs/>
          <w:rtl/>
        </w:rPr>
        <w:t>ات</w:t>
      </w:r>
      <w:r w:rsidRPr="009D647D">
        <w:rPr>
          <w:b/>
          <w:bCs/>
          <w:rtl/>
        </w:rPr>
        <w:t xml:space="preserve"> المدرج</w:t>
      </w:r>
      <w:r w:rsidRPr="009D647D">
        <w:rPr>
          <w:rFonts w:hint="cs"/>
          <w:b/>
          <w:bCs/>
          <w:rtl/>
        </w:rPr>
        <w:t xml:space="preserve">ة </w:t>
      </w:r>
      <w:r w:rsidRPr="009D647D">
        <w:rPr>
          <w:b/>
          <w:bCs/>
          <w:rtl/>
        </w:rPr>
        <w:t>في الفقر</w:t>
      </w:r>
      <w:r w:rsidRPr="009D647D">
        <w:rPr>
          <w:rFonts w:hint="cs"/>
          <w:b/>
          <w:bCs/>
          <w:rtl/>
        </w:rPr>
        <w:t xml:space="preserve">تين </w:t>
      </w:r>
      <w:r w:rsidRPr="009D647D">
        <w:rPr>
          <w:b/>
          <w:bCs/>
          <w:rtl/>
        </w:rPr>
        <w:t>10(أ) و22 أعلاه.</w:t>
      </w:r>
      <w:bookmarkStart w:id="20" w:name="_Toc483922872"/>
    </w:p>
    <w:p w:rsidR="00FC3308" w:rsidRPr="009D647D" w:rsidRDefault="00FC3308" w:rsidP="00FC3308">
      <w:pPr>
        <w:pStyle w:val="H23GA"/>
        <w:rPr>
          <w:rtl/>
        </w:rPr>
      </w:pPr>
      <w:r w:rsidRPr="009D647D">
        <w:rPr>
          <w:rFonts w:hint="cs"/>
          <w:rtl/>
        </w:rPr>
        <w:lastRenderedPageBreak/>
        <w:tab/>
      </w:r>
      <w:r w:rsidRPr="009D647D">
        <w:rPr>
          <w:rFonts w:hint="cs"/>
          <w:rtl/>
        </w:rPr>
        <w:tab/>
      </w:r>
      <w:r w:rsidRPr="009D647D">
        <w:rPr>
          <w:rtl/>
        </w:rPr>
        <w:t>فقرات ذات أهمية خاصة</w:t>
      </w:r>
      <w:bookmarkEnd w:id="20"/>
    </w:p>
    <w:p w:rsidR="00FC3308" w:rsidRPr="009D647D" w:rsidRDefault="00FC3308" w:rsidP="00FC3308">
      <w:pPr>
        <w:pStyle w:val="SingleTxtGA"/>
        <w:rPr>
          <w:b/>
          <w:bCs/>
          <w:rtl/>
        </w:rPr>
      </w:pPr>
      <w:r w:rsidRPr="009D647D">
        <w:rPr>
          <w:rtl/>
        </w:rPr>
        <w:t>29-</w:t>
      </w:r>
      <w:r w:rsidRPr="009D647D">
        <w:rPr>
          <w:rtl/>
        </w:rPr>
        <w:tab/>
      </w:r>
      <w:r w:rsidRPr="009D647D">
        <w:rPr>
          <w:b/>
          <w:bCs/>
          <w:rtl/>
        </w:rPr>
        <w:t>تود اللجنة أن توجه انتباه الدولة الطرف إلى الأهمية الخاصة للتوصيات الواردة في الفقرات 8 و12 و14 و20 أعلاه، وتطلب إليها أن تقدم في تقريرها الدوري المقبل معلومات مفصلة عن التدابير الملموسة المتخذة لتنفيذ هذه التوصيات.</w:t>
      </w:r>
      <w:bookmarkStart w:id="21" w:name="_Toc483922873"/>
    </w:p>
    <w:p w:rsidR="00FC3308" w:rsidRPr="009D647D" w:rsidRDefault="00FC3308" w:rsidP="00FC3308">
      <w:pPr>
        <w:pStyle w:val="H23GA"/>
        <w:rPr>
          <w:rtl/>
        </w:rPr>
      </w:pPr>
      <w:r w:rsidRPr="009D647D">
        <w:rPr>
          <w:rFonts w:hint="cs"/>
          <w:rtl/>
        </w:rPr>
        <w:tab/>
      </w:r>
      <w:r w:rsidRPr="009D647D">
        <w:rPr>
          <w:rFonts w:hint="cs"/>
          <w:rtl/>
        </w:rPr>
        <w:tab/>
      </w:r>
      <w:r w:rsidRPr="009D647D">
        <w:rPr>
          <w:rtl/>
        </w:rPr>
        <w:t>إعداد التقرير الدوري المقبل</w:t>
      </w:r>
      <w:bookmarkEnd w:id="21"/>
    </w:p>
    <w:p w:rsidR="00FC3308" w:rsidRPr="009D647D" w:rsidRDefault="00FC3308" w:rsidP="00FC3308">
      <w:pPr>
        <w:pStyle w:val="SingleTxtGA"/>
        <w:rPr>
          <w:b/>
          <w:bCs/>
          <w:rtl/>
        </w:rPr>
      </w:pPr>
      <w:r w:rsidRPr="009D647D">
        <w:rPr>
          <w:rtl/>
        </w:rPr>
        <w:t>30-</w:t>
      </w:r>
      <w:r w:rsidRPr="009D647D">
        <w:rPr>
          <w:rtl/>
        </w:rPr>
        <w:tab/>
      </w:r>
      <w:r w:rsidRPr="009D647D">
        <w:rPr>
          <w:b/>
          <w:bCs/>
          <w:rtl/>
        </w:rPr>
        <w:t xml:space="preserve">توصي اللجنة بأن تقدم الدولة الطرف تقريرها الجامع للتقارير </w:t>
      </w:r>
      <w:r w:rsidRPr="009D647D">
        <w:rPr>
          <w:rFonts w:hint="cs"/>
          <w:b/>
          <w:bCs/>
          <w:rtl/>
        </w:rPr>
        <w:t xml:space="preserve">الدورية </w:t>
      </w:r>
      <w:r w:rsidRPr="009D647D">
        <w:rPr>
          <w:b/>
          <w:bCs/>
          <w:rtl/>
        </w:rPr>
        <w:t>من الثالث</w:t>
      </w:r>
      <w:r>
        <w:rPr>
          <w:rFonts w:hint="cs"/>
          <w:b/>
          <w:bCs/>
          <w:rtl/>
        </w:rPr>
        <w:t> </w:t>
      </w:r>
      <w:r w:rsidRPr="009D647D">
        <w:rPr>
          <w:b/>
          <w:bCs/>
          <w:rtl/>
        </w:rPr>
        <w:t>والعشرين إلى الخامس والعشرين، في وثيقة واحدة، في موعد أقصاه 4 كانون الثاني/يناير 2020، مع مراعاة المبادئ التوجيهية الخاصة بإعداد التقارير التي اعتمدتها اللجنة في دورتها الحادية والسبعين (</w:t>
      </w:r>
      <w:r w:rsidRPr="009D647D">
        <w:rPr>
          <w:b/>
          <w:bCs/>
        </w:rPr>
        <w:t>CERD/C/2007/1</w:t>
      </w:r>
      <w:r w:rsidRPr="009D647D">
        <w:rPr>
          <w:b/>
          <w:bCs/>
          <w:rtl/>
        </w:rPr>
        <w:t>)، وبأن تتناول في هذه الوثيقة جميع المسائل التي</w:t>
      </w:r>
      <w:bookmarkStart w:id="22" w:name="_GoBack"/>
      <w:bookmarkEnd w:id="22"/>
      <w:r w:rsidRPr="009D647D">
        <w:rPr>
          <w:b/>
          <w:bCs/>
          <w:rtl/>
        </w:rPr>
        <w:t xml:space="preserve"> أثيرت في هذه الملاحظات الختامية. وفي ضوء قرار الجمعية العامة</w:t>
      </w:r>
      <w:r>
        <w:rPr>
          <w:rFonts w:hint="cs"/>
          <w:b/>
          <w:bCs/>
          <w:rtl/>
        </w:rPr>
        <w:t> </w:t>
      </w:r>
      <w:r w:rsidRPr="009D647D">
        <w:rPr>
          <w:b/>
          <w:bCs/>
          <w:rtl/>
        </w:rPr>
        <w:t xml:space="preserve">68/268، تحث اللجنة الدولة الطرف على الالتزام بالحد الأقصى لعدد كلمات </w:t>
      </w:r>
      <w:r w:rsidRPr="009D647D">
        <w:rPr>
          <w:rFonts w:hint="cs"/>
          <w:b/>
          <w:bCs/>
          <w:rtl/>
        </w:rPr>
        <w:t>ا</w:t>
      </w:r>
      <w:r w:rsidRPr="009D647D">
        <w:rPr>
          <w:b/>
          <w:bCs/>
          <w:rtl/>
        </w:rPr>
        <w:t>لتقارير الدورية، وهو 200 21 كلمة.</w:t>
      </w:r>
    </w:p>
    <w:p w:rsidR="00FC3308" w:rsidRPr="009D647D" w:rsidRDefault="00FC3308" w:rsidP="00FC3308">
      <w:pPr>
        <w:pStyle w:val="SingleTxtGA"/>
        <w:jc w:val="center"/>
        <w:rPr>
          <w:u w:val="single"/>
          <w:rtl/>
        </w:rPr>
      </w:pPr>
      <w:r>
        <w:rPr>
          <w:rFonts w:hint="cs"/>
          <w:u w:val="single"/>
          <w:rtl/>
        </w:rPr>
        <w:tab/>
      </w:r>
      <w:r>
        <w:rPr>
          <w:rFonts w:hint="cs"/>
          <w:u w:val="single"/>
          <w:rtl/>
        </w:rPr>
        <w:tab/>
      </w:r>
      <w:r>
        <w:rPr>
          <w:rFonts w:hint="cs"/>
          <w:u w:val="single"/>
          <w:rtl/>
        </w:rPr>
        <w:tab/>
      </w:r>
    </w:p>
    <w:p w:rsidR="00FC3308" w:rsidRDefault="00FC3308" w:rsidP="00FC3308">
      <w:pPr>
        <w:spacing w:before="120" w:line="380" w:lineRule="exact"/>
        <w:jc w:val="left"/>
        <w:rPr>
          <w:b/>
          <w:bCs/>
          <w:sz w:val="36"/>
          <w:szCs w:val="36"/>
          <w:rtl/>
        </w:rPr>
      </w:pPr>
    </w:p>
    <w:sectPr w:rsidR="00FC3308" w:rsidSect="0000240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71" w:rsidRPr="002901D9" w:rsidRDefault="007A4B71" w:rsidP="002901D9">
      <w:pPr>
        <w:spacing w:after="60" w:line="240" w:lineRule="auto"/>
        <w:rPr>
          <w:i/>
          <w:iCs/>
        </w:rPr>
      </w:pPr>
      <w:r>
        <w:rPr>
          <w:rFonts w:hint="cs"/>
          <w:i/>
          <w:iCs/>
          <w:rtl/>
        </w:rPr>
        <w:t>الحواشي</w:t>
      </w:r>
    </w:p>
  </w:endnote>
  <w:endnote w:type="continuationSeparator" w:id="0">
    <w:p w:rsidR="007A4B71" w:rsidRDefault="007A4B7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03" w:rsidRPr="00FC3308" w:rsidRDefault="00FC3308" w:rsidP="00FC3308">
    <w:pPr>
      <w:pStyle w:val="Footer"/>
      <w:tabs>
        <w:tab w:val="right" w:pos="9598"/>
      </w:tabs>
      <w:rPr>
        <w:sz w:val="17"/>
      </w:rPr>
    </w:pPr>
    <w:r>
      <w:rPr>
        <w:sz w:val="17"/>
      </w:rPr>
      <w:t>GE.17-08749</w:t>
    </w:r>
    <w:r>
      <w:rPr>
        <w:sz w:val="17"/>
      </w:rPr>
      <w:tab/>
    </w:r>
    <w:r w:rsidRPr="00FC3308">
      <w:rPr>
        <w:b/>
        <w:sz w:val="18"/>
      </w:rPr>
      <w:fldChar w:fldCharType="begin"/>
    </w:r>
    <w:r w:rsidRPr="00FC3308">
      <w:rPr>
        <w:b/>
        <w:sz w:val="18"/>
      </w:rPr>
      <w:instrText xml:space="preserve"> PAGE  \* MERGEFORMAT </w:instrText>
    </w:r>
    <w:r w:rsidRPr="00FC3308">
      <w:rPr>
        <w:b/>
        <w:sz w:val="18"/>
      </w:rPr>
      <w:fldChar w:fldCharType="separate"/>
    </w:r>
    <w:r w:rsidR="00E35164">
      <w:rPr>
        <w:b/>
        <w:noProof/>
        <w:sz w:val="18"/>
      </w:rPr>
      <w:t>10</w:t>
    </w:r>
    <w:r w:rsidRPr="00FC330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C3308" w:rsidRDefault="00FC3308" w:rsidP="006959B0">
    <w:pPr>
      <w:pStyle w:val="Footer"/>
      <w:tabs>
        <w:tab w:val="right" w:pos="9599"/>
      </w:tabs>
      <w:jc w:val="left"/>
      <w:rPr>
        <w:b/>
        <w:sz w:val="18"/>
        <w:lang w:val="en-US"/>
      </w:rPr>
    </w:pPr>
    <w:r w:rsidRPr="00FC3308">
      <w:rPr>
        <w:b/>
        <w:sz w:val="18"/>
        <w:lang w:val="en-US"/>
      </w:rPr>
      <w:fldChar w:fldCharType="begin"/>
    </w:r>
    <w:r w:rsidRPr="00FC3308">
      <w:rPr>
        <w:b/>
        <w:sz w:val="18"/>
        <w:lang w:val="en-US"/>
      </w:rPr>
      <w:instrText xml:space="preserve"> PAGE  \* MERGEFORMAT </w:instrText>
    </w:r>
    <w:r w:rsidRPr="00FC3308">
      <w:rPr>
        <w:b/>
        <w:sz w:val="18"/>
        <w:lang w:val="en-US"/>
      </w:rPr>
      <w:fldChar w:fldCharType="separate"/>
    </w:r>
    <w:r w:rsidR="00E35164">
      <w:rPr>
        <w:b/>
        <w:noProof/>
        <w:sz w:val="18"/>
        <w:lang w:val="en-US"/>
      </w:rPr>
      <w:t>9</w:t>
    </w:r>
    <w:r w:rsidRPr="00FC3308">
      <w:rPr>
        <w:b/>
        <w:sz w:val="18"/>
        <w:lang w:val="en-US"/>
      </w:rPr>
      <w:fldChar w:fldCharType="end"/>
    </w:r>
    <w:r>
      <w:rPr>
        <w:b/>
        <w:sz w:val="18"/>
        <w:lang w:val="en-US"/>
      </w:rPr>
      <w:tab/>
    </w:r>
    <w:r>
      <w:rPr>
        <w:sz w:val="17"/>
        <w:lang w:val="en-US"/>
      </w:rPr>
      <w:t>GE.17-08749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002403" w:rsidP="00F6741C">
    <w:pPr>
      <w:pStyle w:val="Footer"/>
      <w:spacing w:before="360"/>
      <w:jc w:val="right"/>
      <w:rPr>
        <w:sz w:val="20"/>
        <w:szCs w:val="20"/>
      </w:rPr>
    </w:pPr>
    <w:r>
      <w:rPr>
        <w:sz w:val="20"/>
        <w:szCs w:val="20"/>
      </w:rPr>
      <w:t>GE.17-08749</w:t>
    </w:r>
    <w:r w:rsidR="00FD4BC9">
      <w:rPr>
        <w:noProof/>
        <w:lang w:val="en-US"/>
      </w:rPr>
      <w:drawing>
        <wp:anchor distT="0" distB="0" distL="114300" distR="114300" simplePos="0" relativeHeight="251659264" behindDoc="1" locked="1" layoutInCell="0" allowOverlap="1" wp14:anchorId="1B062278" wp14:editId="556509B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02403" w:rsidRPr="00002403" w:rsidRDefault="00002403" w:rsidP="0000240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033A80D" wp14:editId="78C2AF05">
          <wp:simplePos x="0" y="0"/>
          <wp:positionH relativeFrom="page">
            <wp:posOffset>719455</wp:posOffset>
          </wp:positionH>
          <wp:positionV relativeFrom="page">
            <wp:posOffset>9611995</wp:posOffset>
          </wp:positionV>
          <wp:extent cx="641444" cy="641444"/>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1444" cy="64144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71" w:rsidRPr="0054762C" w:rsidRDefault="007A4B71" w:rsidP="000E524A">
      <w:pPr>
        <w:pStyle w:val="Footer"/>
        <w:bidi/>
        <w:spacing w:after="80" w:line="200" w:lineRule="exact"/>
        <w:ind w:left="680"/>
      </w:pPr>
      <w:r>
        <w:rPr>
          <w:rtl/>
        </w:rPr>
        <w:t>__________</w:t>
      </w:r>
    </w:p>
  </w:footnote>
  <w:footnote w:type="continuationSeparator" w:id="0">
    <w:p w:rsidR="007A4B71" w:rsidRDefault="007A4B71" w:rsidP="00656392">
      <w:pPr>
        <w:spacing w:line="240" w:lineRule="auto"/>
      </w:pPr>
      <w:r>
        <w:continuationSeparator/>
      </w:r>
    </w:p>
  </w:footnote>
  <w:footnote w:id="1">
    <w:p w:rsidR="00FC3308" w:rsidRPr="009D647D" w:rsidRDefault="00FC3308" w:rsidP="00FC3308">
      <w:pPr>
        <w:pStyle w:val="FootnoteText1"/>
      </w:pPr>
      <w:r w:rsidRPr="009D647D">
        <w:rPr>
          <w:rtl/>
        </w:rPr>
        <w:t>*</w:t>
      </w:r>
      <w:r w:rsidRPr="009D647D">
        <w:rPr>
          <w:rtl/>
        </w:rPr>
        <w:tab/>
        <w:t>اعتمدتها اللجنة في دورتها الثانية والتسعين (24 نيسان/أبريل</w:t>
      </w:r>
      <w:r>
        <w:rPr>
          <w:rFonts w:hint="cs"/>
          <w:rtl/>
        </w:rPr>
        <w:t xml:space="preserve"> </w:t>
      </w:r>
      <w:r w:rsidRPr="009D647D">
        <w:rPr>
          <w:rtl/>
        </w:rPr>
        <w:t>-</w:t>
      </w:r>
      <w:r>
        <w:rPr>
          <w:rFonts w:hint="cs"/>
          <w:rtl/>
        </w:rPr>
        <w:t xml:space="preserve"> </w:t>
      </w:r>
      <w:r w:rsidRPr="009D647D">
        <w:rPr>
          <w:rtl/>
        </w:rPr>
        <w:t>12 أيار/مايو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03" w:rsidRPr="00FC3308" w:rsidRDefault="00FC3308" w:rsidP="00FC3308">
    <w:pPr>
      <w:pStyle w:val="Header"/>
      <w:jc w:val="right"/>
    </w:pPr>
    <w:r w:rsidRPr="00FC3308">
      <w:t>CERD/C/BGR/CO/20-22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03" w:rsidRPr="00FC3308" w:rsidRDefault="00FC3308" w:rsidP="00FC3308">
    <w:pPr>
      <w:pStyle w:val="Header"/>
      <w:jc w:val="left"/>
    </w:pPr>
    <w:r w:rsidRPr="00FC3308">
      <w:t>CERD/C/BGR/CO/20-22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5"/>
  </w:num>
  <w:num w:numId="7">
    <w:abstractNumId w:val="15"/>
  </w:num>
  <w:num w:numId="8">
    <w:abstractNumId w:val="1"/>
  </w:num>
  <w:num w:numId="9">
    <w:abstractNumId w:val="8"/>
  </w:num>
  <w:num w:numId="10">
    <w:abstractNumId w:val="5"/>
  </w:num>
  <w:num w:numId="11">
    <w:abstractNumId w:val="15"/>
  </w:num>
  <w:num w:numId="12">
    <w:abstractNumId w:val="12"/>
  </w:num>
  <w:num w:numId="13">
    <w:abstractNumId w:val="3"/>
  </w:num>
  <w:num w:numId="14">
    <w:abstractNumId w:val="6"/>
  </w:num>
  <w:num w:numId="15">
    <w:abstractNumId w:val="4"/>
  </w:num>
  <w:num w:numId="16">
    <w:abstractNumId w:val="0"/>
  </w:num>
  <w:num w:numId="17">
    <w:abstractNumId w:val="10"/>
  </w:num>
  <w:num w:numId="18">
    <w:abstractNumId w:val="1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A4B71"/>
    <w:rsid w:val="00002403"/>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102AD"/>
    <w:rsid w:val="00656392"/>
    <w:rsid w:val="0068781D"/>
    <w:rsid w:val="006959B0"/>
    <w:rsid w:val="006B3E27"/>
    <w:rsid w:val="006B6507"/>
    <w:rsid w:val="006C104C"/>
    <w:rsid w:val="00733704"/>
    <w:rsid w:val="00740188"/>
    <w:rsid w:val="0078071A"/>
    <w:rsid w:val="007A4B71"/>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35164"/>
    <w:rsid w:val="00E70E04"/>
    <w:rsid w:val="00EA42BA"/>
    <w:rsid w:val="00EC05A7"/>
    <w:rsid w:val="00EC4B6B"/>
    <w:rsid w:val="00ED7442"/>
    <w:rsid w:val="00EE0B18"/>
    <w:rsid w:val="00EF1EE5"/>
    <w:rsid w:val="00F6741C"/>
    <w:rsid w:val="00F763B4"/>
    <w:rsid w:val="00F900C3"/>
    <w:rsid w:val="00FC3308"/>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FC3308"/>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FC3308"/>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MG">
    <w:name w:val="_ H __M_G"/>
    <w:basedOn w:val="Normal"/>
    <w:next w:val="Normal"/>
    <w:rsid w:val="00FC3308"/>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FC3308"/>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FC3308"/>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FC3308"/>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FC3308"/>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FC3308"/>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FC3308"/>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FC3308"/>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FC3308"/>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FC3308"/>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FC3308"/>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FC3308"/>
    <w:pPr>
      <w:numPr>
        <w:numId w:val="14"/>
      </w:numPr>
      <w:suppressAutoHyphens/>
      <w:bidi w:val="0"/>
      <w:spacing w:after="120"/>
      <w:ind w:right="1134"/>
      <w:jc w:val="both"/>
    </w:pPr>
    <w:rPr>
      <w:rFonts w:cs="Arial"/>
      <w:szCs w:val="20"/>
      <w:lang w:val="en-GB"/>
    </w:rPr>
  </w:style>
  <w:style w:type="paragraph" w:customStyle="1" w:styleId="Bullet2G">
    <w:name w:val="_Bullet 2_G"/>
    <w:basedOn w:val="Normal"/>
    <w:rsid w:val="00FC3308"/>
    <w:pPr>
      <w:numPr>
        <w:numId w:val="15"/>
      </w:numPr>
      <w:suppressAutoHyphens/>
      <w:bidi w:val="0"/>
      <w:spacing w:after="120"/>
      <w:ind w:right="1134"/>
      <w:jc w:val="both"/>
    </w:pPr>
    <w:rPr>
      <w:rFonts w:cs="Arial"/>
      <w:szCs w:val="20"/>
      <w:lang w:val="en-GB"/>
    </w:rPr>
  </w:style>
  <w:style w:type="paragraph" w:customStyle="1" w:styleId="ParaNoG">
    <w:name w:val="_ParaNo._G"/>
    <w:basedOn w:val="SingleTxtG"/>
    <w:rsid w:val="00FC3308"/>
    <w:pPr>
      <w:numPr>
        <w:numId w:val="16"/>
      </w:numPr>
    </w:pPr>
  </w:style>
  <w:style w:type="numbering" w:styleId="111111">
    <w:name w:val="Outline List 2"/>
    <w:basedOn w:val="NoList"/>
    <w:semiHidden/>
    <w:rsid w:val="00FC3308"/>
    <w:pPr>
      <w:numPr>
        <w:numId w:val="18"/>
      </w:numPr>
    </w:pPr>
  </w:style>
  <w:style w:type="numbering" w:styleId="1ai">
    <w:name w:val="Outline List 1"/>
    <w:basedOn w:val="NoList"/>
    <w:semiHidden/>
    <w:rsid w:val="00FC3308"/>
    <w:pPr>
      <w:numPr>
        <w:numId w:val="19"/>
      </w:numPr>
    </w:pPr>
  </w:style>
  <w:style w:type="paragraph" w:styleId="TOC1">
    <w:name w:val="toc 1"/>
    <w:basedOn w:val="Normal"/>
    <w:next w:val="Normal"/>
    <w:autoRedefine/>
    <w:uiPriority w:val="39"/>
    <w:unhideWhenUsed/>
    <w:rsid w:val="00FC3308"/>
    <w:pPr>
      <w:suppressAutoHyphens/>
      <w:bidi w:val="0"/>
      <w:spacing w:after="100"/>
      <w:jc w:val="left"/>
    </w:pPr>
    <w:rPr>
      <w:rFonts w:cs="Arial"/>
      <w:szCs w:val="20"/>
      <w:lang w:val="en-GB"/>
    </w:rPr>
  </w:style>
  <w:style w:type="paragraph" w:styleId="TOC2">
    <w:name w:val="toc 2"/>
    <w:basedOn w:val="Normal"/>
    <w:next w:val="Normal"/>
    <w:autoRedefine/>
    <w:uiPriority w:val="39"/>
    <w:unhideWhenUsed/>
    <w:rsid w:val="00FC3308"/>
    <w:pPr>
      <w:suppressAutoHyphens/>
      <w:bidi w:val="0"/>
      <w:spacing w:after="100"/>
      <w:ind w:left="200"/>
      <w:jc w:val="left"/>
    </w:pPr>
    <w:rPr>
      <w:rFonts w:cs="Arial"/>
      <w:szCs w:val="20"/>
      <w:lang w:val="en-GB"/>
    </w:rPr>
  </w:style>
  <w:style w:type="paragraph" w:styleId="TOC3">
    <w:name w:val="toc 3"/>
    <w:basedOn w:val="Normal"/>
    <w:next w:val="Normal"/>
    <w:autoRedefine/>
    <w:uiPriority w:val="39"/>
    <w:unhideWhenUsed/>
    <w:rsid w:val="00FC3308"/>
    <w:pPr>
      <w:suppressAutoHyphens/>
      <w:bidi w:val="0"/>
      <w:spacing w:after="100"/>
      <w:ind w:left="400"/>
      <w:jc w:val="left"/>
    </w:pPr>
    <w:rPr>
      <w:rFonts w:cs="Arial"/>
      <w:szCs w:val="20"/>
      <w:lang w:val="en-GB"/>
    </w:rPr>
  </w:style>
  <w:style w:type="character" w:styleId="Hyperlink">
    <w:name w:val="Hyperlink"/>
    <w:basedOn w:val="DefaultParagraphFont"/>
    <w:uiPriority w:val="99"/>
    <w:unhideWhenUsed/>
    <w:rsid w:val="00FC3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FC3308"/>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FC3308"/>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MG">
    <w:name w:val="_ H __M_G"/>
    <w:basedOn w:val="Normal"/>
    <w:next w:val="Normal"/>
    <w:rsid w:val="00FC3308"/>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FC3308"/>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FC3308"/>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FC3308"/>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FC3308"/>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FC3308"/>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FC3308"/>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FC3308"/>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FC3308"/>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FC3308"/>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FC3308"/>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FC3308"/>
    <w:pPr>
      <w:numPr>
        <w:numId w:val="14"/>
      </w:numPr>
      <w:suppressAutoHyphens/>
      <w:bidi w:val="0"/>
      <w:spacing w:after="120"/>
      <w:ind w:right="1134"/>
      <w:jc w:val="both"/>
    </w:pPr>
    <w:rPr>
      <w:rFonts w:cs="Arial"/>
      <w:szCs w:val="20"/>
      <w:lang w:val="en-GB"/>
    </w:rPr>
  </w:style>
  <w:style w:type="paragraph" w:customStyle="1" w:styleId="Bullet2G">
    <w:name w:val="_Bullet 2_G"/>
    <w:basedOn w:val="Normal"/>
    <w:rsid w:val="00FC3308"/>
    <w:pPr>
      <w:numPr>
        <w:numId w:val="15"/>
      </w:numPr>
      <w:suppressAutoHyphens/>
      <w:bidi w:val="0"/>
      <w:spacing w:after="120"/>
      <w:ind w:right="1134"/>
      <w:jc w:val="both"/>
    </w:pPr>
    <w:rPr>
      <w:rFonts w:cs="Arial"/>
      <w:szCs w:val="20"/>
      <w:lang w:val="en-GB"/>
    </w:rPr>
  </w:style>
  <w:style w:type="paragraph" w:customStyle="1" w:styleId="ParaNoG">
    <w:name w:val="_ParaNo._G"/>
    <w:basedOn w:val="SingleTxtG"/>
    <w:rsid w:val="00FC3308"/>
    <w:pPr>
      <w:numPr>
        <w:numId w:val="16"/>
      </w:numPr>
    </w:pPr>
  </w:style>
  <w:style w:type="numbering" w:styleId="111111">
    <w:name w:val="Outline List 2"/>
    <w:basedOn w:val="NoList"/>
    <w:semiHidden/>
    <w:rsid w:val="00FC3308"/>
    <w:pPr>
      <w:numPr>
        <w:numId w:val="18"/>
      </w:numPr>
    </w:pPr>
  </w:style>
  <w:style w:type="numbering" w:styleId="1ai">
    <w:name w:val="Outline List 1"/>
    <w:basedOn w:val="NoList"/>
    <w:semiHidden/>
    <w:rsid w:val="00FC3308"/>
    <w:pPr>
      <w:numPr>
        <w:numId w:val="19"/>
      </w:numPr>
    </w:pPr>
  </w:style>
  <w:style w:type="paragraph" w:styleId="TOC1">
    <w:name w:val="toc 1"/>
    <w:basedOn w:val="Normal"/>
    <w:next w:val="Normal"/>
    <w:autoRedefine/>
    <w:uiPriority w:val="39"/>
    <w:unhideWhenUsed/>
    <w:rsid w:val="00FC3308"/>
    <w:pPr>
      <w:suppressAutoHyphens/>
      <w:bidi w:val="0"/>
      <w:spacing w:after="100"/>
      <w:jc w:val="left"/>
    </w:pPr>
    <w:rPr>
      <w:rFonts w:cs="Arial"/>
      <w:szCs w:val="20"/>
      <w:lang w:val="en-GB"/>
    </w:rPr>
  </w:style>
  <w:style w:type="paragraph" w:styleId="TOC2">
    <w:name w:val="toc 2"/>
    <w:basedOn w:val="Normal"/>
    <w:next w:val="Normal"/>
    <w:autoRedefine/>
    <w:uiPriority w:val="39"/>
    <w:unhideWhenUsed/>
    <w:rsid w:val="00FC3308"/>
    <w:pPr>
      <w:suppressAutoHyphens/>
      <w:bidi w:val="0"/>
      <w:spacing w:after="100"/>
      <w:ind w:left="200"/>
      <w:jc w:val="left"/>
    </w:pPr>
    <w:rPr>
      <w:rFonts w:cs="Arial"/>
      <w:szCs w:val="20"/>
      <w:lang w:val="en-GB"/>
    </w:rPr>
  </w:style>
  <w:style w:type="paragraph" w:styleId="TOC3">
    <w:name w:val="toc 3"/>
    <w:basedOn w:val="Normal"/>
    <w:next w:val="Normal"/>
    <w:autoRedefine/>
    <w:uiPriority w:val="39"/>
    <w:unhideWhenUsed/>
    <w:rsid w:val="00FC3308"/>
    <w:pPr>
      <w:suppressAutoHyphens/>
      <w:bidi w:val="0"/>
      <w:spacing w:after="100"/>
      <w:ind w:left="400"/>
      <w:jc w:val="left"/>
    </w:pPr>
    <w:rPr>
      <w:rFonts w:cs="Arial"/>
      <w:szCs w:val="20"/>
      <w:lang w:val="en-GB"/>
    </w:rPr>
  </w:style>
  <w:style w:type="character" w:styleId="Hyperlink">
    <w:name w:val="Hyperlink"/>
    <w:basedOn w:val="DefaultParagraphFont"/>
    <w:uiPriority w:val="99"/>
    <w:unhideWhenUsed/>
    <w:rsid w:val="00FC3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84C1-C6A9-478B-A04D-B3AC3376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10</Pages>
  <Words>2522</Words>
  <Characters>16448</Characters>
  <Application>Microsoft Office Word</Application>
  <DocSecurity>0</DocSecurity>
  <Lines>715</Lines>
  <Paragraphs>512</Paragraphs>
  <ScaleCrop>false</ScaleCrop>
  <HeadingPairs>
    <vt:vector size="2" baseType="variant">
      <vt:variant>
        <vt:lpstr>Title</vt:lpstr>
      </vt:variant>
      <vt:variant>
        <vt:i4>1</vt:i4>
      </vt:variant>
    </vt:vector>
  </HeadingPairs>
  <TitlesOfParts>
    <vt:vector size="1" baseType="lpstr">
      <vt:lpstr>CERD/C/BGR/CO/20-22</vt:lpstr>
    </vt:vector>
  </TitlesOfParts>
  <Company>DCM</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CERD/C/BGR/CO/20-22</dc:title>
  <dc:subject>GE.1708749A</dc:subject>
  <dc:creator>J.KAH - AGH</dc:creator>
  <cp:keywords>ODS No. 1714801A</cp:keywords>
  <dc:description>Distr.: General
31 May 2017
Original: English</dc:description>
  <cp:lastModifiedBy>Tpsara</cp:lastModifiedBy>
  <cp:revision>2</cp:revision>
  <dcterms:created xsi:type="dcterms:W3CDTF">2017-06-08T15:12:00Z</dcterms:created>
  <dcterms:modified xsi:type="dcterms:W3CDTF">2017-06-08T15:12:00Z</dcterms:modified>
  <cp:category>Final</cp:category>
</cp:coreProperties>
</file>