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975B8C">
        <w:trPr>
          <w:trHeight w:hRule="exact" w:val="851"/>
        </w:trPr>
        <w:tc>
          <w:tcPr>
            <w:tcW w:w="1277" w:type="dxa"/>
            <w:tcBorders>
              <w:bottom w:val="single" w:sz="4" w:space="0" w:color="auto"/>
            </w:tcBorders>
          </w:tcPr>
          <w:p w:rsidR="00297B00" w:rsidRPr="00DB58B5" w:rsidRDefault="00297B00" w:rsidP="00E44BBF">
            <w:pPr>
              <w:jc w:val="both"/>
            </w:pPr>
          </w:p>
        </w:tc>
        <w:tc>
          <w:tcPr>
            <w:tcW w:w="2268" w:type="dxa"/>
            <w:tcBorders>
              <w:bottom w:val="single" w:sz="4" w:space="0" w:color="auto"/>
            </w:tcBorders>
            <w:vAlign w:val="bottom"/>
          </w:tcPr>
          <w:p w:rsidR="00297B00" w:rsidRPr="00DB58B5" w:rsidRDefault="00297B00" w:rsidP="00E44BBF">
            <w:pPr>
              <w:spacing w:after="80" w:line="300" w:lineRule="exact"/>
              <w:jc w:val="both"/>
              <w:rPr>
                <w:sz w:val="28"/>
              </w:rPr>
            </w:pPr>
            <w:r w:rsidRPr="00DB58B5">
              <w:rPr>
                <w:sz w:val="28"/>
              </w:rPr>
              <w:t>Nations Unies</w:t>
            </w:r>
          </w:p>
        </w:tc>
        <w:tc>
          <w:tcPr>
            <w:tcW w:w="6094" w:type="dxa"/>
            <w:gridSpan w:val="2"/>
            <w:tcBorders>
              <w:bottom w:val="single" w:sz="4" w:space="0" w:color="auto"/>
            </w:tcBorders>
            <w:vAlign w:val="bottom"/>
          </w:tcPr>
          <w:p w:rsidR="00297B00" w:rsidRPr="00975B8C" w:rsidRDefault="00AA2FC7" w:rsidP="00C00CBA">
            <w:pPr>
              <w:jc w:val="right"/>
              <w:rPr>
                <w:lang w:val="en-GB"/>
              </w:rPr>
            </w:pPr>
            <w:r w:rsidRPr="00975B8C">
              <w:rPr>
                <w:sz w:val="40"/>
                <w:lang w:val="en-GB"/>
              </w:rPr>
              <w:t>CAT</w:t>
            </w:r>
            <w:r w:rsidR="00F330D3" w:rsidRPr="00975B8C">
              <w:rPr>
                <w:lang w:val="en-GB"/>
              </w:rPr>
              <w:t>/C/MAR</w:t>
            </w:r>
            <w:r w:rsidR="00811C2E" w:rsidRPr="00975B8C">
              <w:rPr>
                <w:lang w:val="en-GB"/>
              </w:rPr>
              <w:t>/CO/</w:t>
            </w:r>
            <w:r w:rsidR="00F330D3" w:rsidRPr="00975B8C">
              <w:rPr>
                <w:lang w:val="en-GB"/>
              </w:rPr>
              <w:t>4</w:t>
            </w:r>
          </w:p>
        </w:tc>
      </w:tr>
      <w:tr w:rsidR="00297B00" w:rsidRPr="00DB58B5">
        <w:trPr>
          <w:trHeight w:hRule="exact" w:val="2835"/>
        </w:trPr>
        <w:tc>
          <w:tcPr>
            <w:tcW w:w="1276" w:type="dxa"/>
            <w:tcBorders>
              <w:top w:val="single" w:sz="4" w:space="0" w:color="auto"/>
              <w:bottom w:val="single" w:sz="12" w:space="0" w:color="auto"/>
            </w:tcBorders>
          </w:tcPr>
          <w:p w:rsidR="00297B00" w:rsidRPr="00DB58B5" w:rsidRDefault="00297B00" w:rsidP="00E44BBF">
            <w:pPr>
              <w:spacing w:before="120"/>
              <w:jc w:val="both"/>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C00CBA">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AA2FC7" w:rsidRDefault="00AA2FC7" w:rsidP="007511F4">
            <w:pPr>
              <w:spacing w:before="240"/>
              <w:jc w:val="both"/>
            </w:pPr>
            <w:r>
              <w:t>Distr.</w:t>
            </w:r>
            <w:r w:rsidR="0029211D">
              <w:t>:</w:t>
            </w:r>
            <w:r>
              <w:t xml:space="preserve"> </w:t>
            </w:r>
            <w:r w:rsidR="007511F4">
              <w:t xml:space="preserve">générale </w:t>
            </w:r>
          </w:p>
          <w:p w:rsidR="00AA2FC7" w:rsidRDefault="004A20E3" w:rsidP="00C97F64">
            <w:pPr>
              <w:spacing w:line="240" w:lineRule="exact"/>
              <w:jc w:val="both"/>
            </w:pPr>
            <w:r>
              <w:t>2</w:t>
            </w:r>
            <w:r w:rsidR="00C97F64">
              <w:t>1</w:t>
            </w:r>
            <w:r w:rsidR="00811C2E">
              <w:t xml:space="preserve"> </w:t>
            </w:r>
            <w:r w:rsidR="0029211D">
              <w:t xml:space="preserve">décembre </w:t>
            </w:r>
            <w:r w:rsidR="00AA2FC7">
              <w:t>2011</w:t>
            </w:r>
          </w:p>
          <w:p w:rsidR="00811C2E" w:rsidRDefault="00811C2E" w:rsidP="00E44BBF">
            <w:pPr>
              <w:spacing w:line="240" w:lineRule="exact"/>
              <w:jc w:val="both"/>
            </w:pPr>
          </w:p>
          <w:p w:rsidR="00811C2E" w:rsidRDefault="00AA2FC7" w:rsidP="00E44BBF">
            <w:pPr>
              <w:spacing w:line="240" w:lineRule="exact"/>
              <w:jc w:val="both"/>
            </w:pPr>
            <w:r>
              <w:t xml:space="preserve">Original: </w:t>
            </w:r>
            <w:r w:rsidR="00811C2E">
              <w:t>français</w:t>
            </w:r>
          </w:p>
          <w:p w:rsidR="00297B00" w:rsidRPr="00DB58B5" w:rsidRDefault="00297B00" w:rsidP="00E44BBF">
            <w:pPr>
              <w:spacing w:line="240" w:lineRule="exact"/>
              <w:jc w:val="both"/>
            </w:pPr>
          </w:p>
        </w:tc>
      </w:tr>
    </w:tbl>
    <w:p w:rsidR="00FF1DBD" w:rsidRPr="00AA2FC7" w:rsidRDefault="00AA2FC7" w:rsidP="00E44BBF">
      <w:pPr>
        <w:spacing w:before="120"/>
        <w:jc w:val="both"/>
        <w:rPr>
          <w:b/>
          <w:sz w:val="24"/>
          <w:szCs w:val="24"/>
        </w:rPr>
      </w:pPr>
      <w:r w:rsidRPr="00AA2FC7">
        <w:rPr>
          <w:b/>
          <w:sz w:val="24"/>
          <w:szCs w:val="24"/>
        </w:rPr>
        <w:t>Comité contre la torture</w:t>
      </w:r>
    </w:p>
    <w:p w:rsidR="00AA2FC7" w:rsidRDefault="00AA2FC7" w:rsidP="00E44BBF">
      <w:pPr>
        <w:jc w:val="both"/>
        <w:rPr>
          <w:b/>
        </w:rPr>
      </w:pPr>
      <w:r>
        <w:rPr>
          <w:b/>
        </w:rPr>
        <w:t>Quarante-septième session</w:t>
      </w:r>
    </w:p>
    <w:p w:rsidR="00AA2FC7" w:rsidRDefault="00AA2FC7" w:rsidP="00E44BBF">
      <w:pPr>
        <w:jc w:val="both"/>
      </w:pPr>
      <w:r>
        <w:t>31 octobre-25 novembre 2011</w:t>
      </w:r>
    </w:p>
    <w:p w:rsidR="00811C2E" w:rsidRDefault="00C3439D" w:rsidP="00E44BBF">
      <w:pPr>
        <w:pStyle w:val="HChG"/>
        <w:jc w:val="both"/>
      </w:pPr>
      <w:r>
        <w:tab/>
      </w:r>
      <w:r>
        <w:tab/>
      </w:r>
      <w:r w:rsidR="00811C2E" w:rsidRPr="0052652A">
        <w:t>Examen des rapports présentés par les États parties en application de l</w:t>
      </w:r>
      <w:r w:rsidR="00811C2E">
        <w:t>’</w:t>
      </w:r>
      <w:r w:rsidR="00811C2E" w:rsidRPr="0052652A">
        <w:t>article 19 de la Convention</w:t>
      </w:r>
    </w:p>
    <w:p w:rsidR="00811C2E" w:rsidRPr="00122B42" w:rsidRDefault="00811C2E" w:rsidP="00E44BBF">
      <w:pPr>
        <w:pStyle w:val="H1G"/>
        <w:jc w:val="both"/>
      </w:pPr>
      <w:r w:rsidRPr="000136E8">
        <w:tab/>
      </w:r>
      <w:r w:rsidRPr="000136E8">
        <w:tab/>
      </w:r>
      <w:r w:rsidR="000F6347">
        <w:t>O</w:t>
      </w:r>
      <w:r w:rsidRPr="005E6099">
        <w:t>bservations</w:t>
      </w:r>
      <w:r w:rsidRPr="0052652A">
        <w:t xml:space="preserve"> finales du Comité contre la torture</w:t>
      </w:r>
    </w:p>
    <w:p w:rsidR="00FA0F65" w:rsidRPr="0029211D" w:rsidRDefault="005E6099" w:rsidP="00E44BBF">
      <w:pPr>
        <w:pStyle w:val="HChG"/>
        <w:jc w:val="both"/>
      </w:pPr>
      <w:r>
        <w:rPr>
          <w:lang w:val="fr-FR"/>
        </w:rPr>
        <w:tab/>
      </w:r>
      <w:r>
        <w:rPr>
          <w:lang w:val="fr-FR"/>
        </w:rPr>
        <w:tab/>
      </w:r>
      <w:r w:rsidR="006112FC" w:rsidRPr="0029211D">
        <w:t>Maroc</w:t>
      </w:r>
    </w:p>
    <w:p w:rsidR="009A09FE" w:rsidRPr="0043732B" w:rsidRDefault="009A09FE" w:rsidP="007B1FBE">
      <w:pPr>
        <w:pStyle w:val="SingleTxtG"/>
      </w:pPr>
      <w:r w:rsidRPr="0043732B">
        <w:t>1.</w:t>
      </w:r>
      <w:r w:rsidRPr="0043732B">
        <w:tab/>
        <w:t xml:space="preserve">Le Comité contre la torture a examiné le </w:t>
      </w:r>
      <w:r w:rsidRPr="00995D52">
        <w:t>quatrième</w:t>
      </w:r>
      <w:r w:rsidRPr="0043732B">
        <w:t xml:space="preserve"> rapport périodique</w:t>
      </w:r>
      <w:r>
        <w:t xml:space="preserve"> du Maroc</w:t>
      </w:r>
      <w:r w:rsidRPr="0043732B">
        <w:t xml:space="preserve"> (CAT/C/</w:t>
      </w:r>
      <w:r>
        <w:t>MAR</w:t>
      </w:r>
      <w:r w:rsidRPr="0043732B">
        <w:t>/4) à ses 10</w:t>
      </w:r>
      <w:r>
        <w:t>22</w:t>
      </w:r>
      <w:r w:rsidRPr="009A09FE">
        <w:rPr>
          <w:vertAlign w:val="superscript"/>
        </w:rPr>
        <w:t>e</w:t>
      </w:r>
      <w:r w:rsidRPr="0043732B">
        <w:t xml:space="preserve"> et 10</w:t>
      </w:r>
      <w:r>
        <w:t>25</w:t>
      </w:r>
      <w:r w:rsidRPr="009A09FE">
        <w:rPr>
          <w:vertAlign w:val="superscript"/>
        </w:rPr>
        <w:t>e</w:t>
      </w:r>
      <w:r w:rsidRPr="0043732B">
        <w:t xml:space="preserve"> séances (CAT/C/SR.10</w:t>
      </w:r>
      <w:r>
        <w:t>22</w:t>
      </w:r>
      <w:r w:rsidRPr="0043732B">
        <w:t xml:space="preserve"> et 10</w:t>
      </w:r>
      <w:r>
        <w:t>25</w:t>
      </w:r>
      <w:r w:rsidRPr="0043732B">
        <w:t xml:space="preserve">), les </w:t>
      </w:r>
      <w:r>
        <w:t>1</w:t>
      </w:r>
      <w:r w:rsidRPr="0043732B">
        <w:t xml:space="preserve"> et 2</w:t>
      </w:r>
      <w:r>
        <w:t xml:space="preserve"> novembre</w:t>
      </w:r>
      <w:r w:rsidRPr="0043732B">
        <w:t xml:space="preserve"> 2011, et a adopté à </w:t>
      </w:r>
      <w:r w:rsidR="00370473" w:rsidRPr="0043732B">
        <w:t>s</w:t>
      </w:r>
      <w:r w:rsidR="00370473">
        <w:t>es 1042</w:t>
      </w:r>
      <w:r w:rsidR="00616F24" w:rsidRPr="00616F24">
        <w:rPr>
          <w:vertAlign w:val="superscript"/>
        </w:rPr>
        <w:t>e</w:t>
      </w:r>
      <w:r w:rsidR="00370473">
        <w:t>, 1043</w:t>
      </w:r>
      <w:r w:rsidR="00616F24" w:rsidRPr="00616F24">
        <w:rPr>
          <w:vertAlign w:val="superscript"/>
        </w:rPr>
        <w:t>e</w:t>
      </w:r>
      <w:r w:rsidR="00643C2B">
        <w:t xml:space="preserve"> </w:t>
      </w:r>
      <w:r w:rsidR="00370473">
        <w:t>et 1045</w:t>
      </w:r>
      <w:r w:rsidR="00616F24" w:rsidRPr="00616F24">
        <w:rPr>
          <w:vertAlign w:val="superscript"/>
        </w:rPr>
        <w:t>e</w:t>
      </w:r>
      <w:r w:rsidR="00616F24">
        <w:t xml:space="preserve"> </w:t>
      </w:r>
      <w:r w:rsidRPr="0043732B">
        <w:t>séance</w:t>
      </w:r>
      <w:r w:rsidR="00616F24">
        <w:t>s</w:t>
      </w:r>
      <w:r w:rsidRPr="0043732B">
        <w:t xml:space="preserve"> (CAT/C/SR</w:t>
      </w:r>
      <w:r>
        <w:t>.</w:t>
      </w:r>
      <w:r w:rsidR="00370473">
        <w:t>1042, 1043 et 1045</w:t>
      </w:r>
      <w:r w:rsidRPr="0043732B">
        <w:t>) les observations finales ci-après.</w:t>
      </w:r>
    </w:p>
    <w:p w:rsidR="009A09FE" w:rsidRPr="009A09FE" w:rsidRDefault="009A09FE" w:rsidP="00E44BBF">
      <w:pPr>
        <w:pStyle w:val="H1G"/>
        <w:jc w:val="both"/>
      </w:pPr>
      <w:r w:rsidRPr="009A09FE">
        <w:tab/>
        <w:t>A.</w:t>
      </w:r>
      <w:r w:rsidRPr="009A09FE">
        <w:tab/>
        <w:t>Introduction</w:t>
      </w:r>
    </w:p>
    <w:p w:rsidR="009A09FE" w:rsidRPr="00212B5E" w:rsidRDefault="009A09FE" w:rsidP="006642EA">
      <w:pPr>
        <w:pStyle w:val="SingleTxtG"/>
      </w:pPr>
      <w:r>
        <w:t>2.</w:t>
      </w:r>
      <w:r>
        <w:tab/>
      </w:r>
      <w:r w:rsidRPr="00212B5E">
        <w:t>Le Comité</w:t>
      </w:r>
      <w:r>
        <w:t xml:space="preserve"> accueille avec satisfaction le</w:t>
      </w:r>
      <w:r w:rsidRPr="00212B5E">
        <w:t xml:space="preserve"> quatrième </w:t>
      </w:r>
      <w:r>
        <w:t>rapport périodique</w:t>
      </w:r>
      <w:r w:rsidRPr="00212B5E">
        <w:t xml:space="preserve"> d</w:t>
      </w:r>
      <w:r>
        <w:t>u</w:t>
      </w:r>
      <w:r w:rsidRPr="00212B5E">
        <w:t xml:space="preserve"> </w:t>
      </w:r>
      <w:r>
        <w:t xml:space="preserve">Maroc, les réponses écrites (CAT/C/MAR/Q/4/Add.1) apportées </w:t>
      </w:r>
      <w:r w:rsidR="00FE0AD8">
        <w:t xml:space="preserve">par l’État partie </w:t>
      </w:r>
      <w:r>
        <w:t>à la liste de points à traiter (CAT/C/</w:t>
      </w:r>
      <w:r w:rsidRPr="006642EA">
        <w:t>MAR/Q/4</w:t>
      </w:r>
      <w:r>
        <w:t>/), ainsi que les renseignements complémentaires fournis oralement</w:t>
      </w:r>
      <w:r w:rsidR="00FE0AD8">
        <w:t xml:space="preserve"> par la délégation marocaine</w:t>
      </w:r>
      <w:r>
        <w:t xml:space="preserve"> lors de l’examen du rapport, tout en regrettant que </w:t>
      </w:r>
      <w:r w:rsidR="00FE0AD8">
        <w:t>ce dernier</w:t>
      </w:r>
      <w:r>
        <w:t xml:space="preserve"> ait été soumis avec plus de deux ans de retard. </w:t>
      </w:r>
      <w:r w:rsidR="00FE0AD8">
        <w:t>Pour finir</w:t>
      </w:r>
      <w:r>
        <w:t xml:space="preserve">, le Comité se félicite du dialogue constructif engagé avec la délégation </w:t>
      </w:r>
      <w:r w:rsidR="00F1508B">
        <w:t xml:space="preserve">d’experts </w:t>
      </w:r>
      <w:r>
        <w:t>envoyée par l’</w:t>
      </w:r>
      <w:r w:rsidR="00FE0AD8">
        <w:t>É</w:t>
      </w:r>
      <w:r>
        <w:t xml:space="preserve">tat partie et remercie </w:t>
      </w:r>
      <w:r w:rsidR="00FE0AD8">
        <w:t xml:space="preserve">celle-ci </w:t>
      </w:r>
      <w:r>
        <w:t>des réponses détaillées apportées aux questions posées</w:t>
      </w:r>
      <w:r w:rsidRPr="004A754E">
        <w:t xml:space="preserve">, ainsi que </w:t>
      </w:r>
      <w:r w:rsidR="00016FA5">
        <w:t>d</w:t>
      </w:r>
      <w:r w:rsidRPr="004A754E">
        <w:t>es réponses écrites additionnelles fournies.</w:t>
      </w:r>
    </w:p>
    <w:p w:rsidR="009A09FE" w:rsidRPr="009A09FE" w:rsidRDefault="009A09FE" w:rsidP="00E44BBF">
      <w:pPr>
        <w:pStyle w:val="H1G"/>
        <w:jc w:val="both"/>
      </w:pPr>
      <w:r w:rsidRPr="009A09FE">
        <w:tab/>
        <w:t>B.</w:t>
      </w:r>
      <w:r w:rsidRPr="009A09FE">
        <w:tab/>
      </w:r>
      <w:r w:rsidRPr="009A09FE">
        <w:rPr>
          <w:szCs w:val="24"/>
        </w:rPr>
        <w:t>Aspects</w:t>
      </w:r>
      <w:r w:rsidRPr="009A09FE">
        <w:t xml:space="preserve"> positifs</w:t>
      </w:r>
    </w:p>
    <w:p w:rsidR="009A09FE" w:rsidRPr="0043732B" w:rsidRDefault="009A09FE" w:rsidP="00E44BBF">
      <w:pPr>
        <w:pStyle w:val="SingleTxtG"/>
      </w:pPr>
      <w:r>
        <w:t>3</w:t>
      </w:r>
      <w:r w:rsidRPr="0043732B">
        <w:t>.</w:t>
      </w:r>
      <w:r w:rsidRPr="0043732B">
        <w:tab/>
        <w:t>Le Comité prend note avec satisfaction de</w:t>
      </w:r>
      <w:r w:rsidR="00F1508B">
        <w:t xml:space="preserve">s </w:t>
      </w:r>
      <w:r w:rsidR="008B4AD7">
        <w:t>actions</w:t>
      </w:r>
      <w:r w:rsidR="00F1508B">
        <w:t xml:space="preserve"> entreprises </w:t>
      </w:r>
      <w:r w:rsidRPr="0043732B">
        <w:t>par l’État partie pendant la période considérée</w:t>
      </w:r>
      <w:r>
        <w:t>,</w:t>
      </w:r>
      <w:r w:rsidRPr="0043732B">
        <w:t xml:space="preserve"> </w:t>
      </w:r>
      <w:r w:rsidR="00F1508B">
        <w:t>concernant l</w:t>
      </w:r>
      <w:r w:rsidRPr="0043732B">
        <w:t>es instruments internationaux relatifs aux droits de l’homme ci-après:</w:t>
      </w:r>
    </w:p>
    <w:p w:rsidR="009A09FE" w:rsidRPr="00435939" w:rsidRDefault="009A09FE" w:rsidP="00016FA5">
      <w:pPr>
        <w:pStyle w:val="SingleTxtG"/>
        <w:ind w:firstLine="567"/>
      </w:pPr>
      <w:r w:rsidRPr="00435939">
        <w:t>a)</w:t>
      </w:r>
      <w:r w:rsidRPr="00435939">
        <w:tab/>
      </w:r>
      <w:r w:rsidR="00F1508B">
        <w:t xml:space="preserve">Ratification de la </w:t>
      </w:r>
      <w:r w:rsidRPr="00435939">
        <w:t xml:space="preserve">Convention </w:t>
      </w:r>
      <w:r>
        <w:t>internationale pour la protection de toutes les personnes contre les disparitions forcées</w:t>
      </w:r>
      <w:r w:rsidR="00016FA5">
        <w:t xml:space="preserve">, </w:t>
      </w:r>
      <w:r>
        <w:t>en avril 2009</w:t>
      </w:r>
      <w:r w:rsidRPr="00435939">
        <w:t>;</w:t>
      </w:r>
    </w:p>
    <w:p w:rsidR="009A09FE" w:rsidRDefault="009A09FE" w:rsidP="00E44BBF">
      <w:pPr>
        <w:pStyle w:val="SingleTxtG"/>
        <w:ind w:firstLine="567"/>
      </w:pPr>
      <w:r w:rsidRPr="00435939">
        <w:t>b)</w:t>
      </w:r>
      <w:r w:rsidRPr="00435939">
        <w:tab/>
      </w:r>
      <w:r w:rsidR="00F1508B">
        <w:t xml:space="preserve">Ratification de la </w:t>
      </w:r>
      <w:r>
        <w:t>Convention relative aux droits des personnes handicapées et de son Protocole facultatif</w:t>
      </w:r>
      <w:r w:rsidR="00016FA5">
        <w:t>,</w:t>
      </w:r>
      <w:r>
        <w:t xml:space="preserve"> en avril 2009</w:t>
      </w:r>
      <w:r w:rsidR="00643C2B">
        <w:t>;</w:t>
      </w:r>
      <w:r>
        <w:t xml:space="preserve"> </w:t>
      </w:r>
    </w:p>
    <w:p w:rsidR="00F1508B" w:rsidRDefault="00060CB5" w:rsidP="004E0F3A">
      <w:pPr>
        <w:pStyle w:val="SingleTxtG"/>
        <w:ind w:firstLine="567"/>
      </w:pPr>
      <w:r>
        <w:t>c)</w:t>
      </w:r>
      <w:r w:rsidR="009A09FE">
        <w:tab/>
      </w:r>
      <w:r w:rsidR="00F1508B">
        <w:t xml:space="preserve">Ratification du </w:t>
      </w:r>
      <w:r w:rsidR="009A09FE">
        <w:t>Protocole contre le trafic illicite de migrants par terre, air et mer, additionnel à la Convention des Nations Unies contre la criminalité</w:t>
      </w:r>
      <w:r w:rsidR="00B15A79">
        <w:t xml:space="preserve"> transnationale</w:t>
      </w:r>
      <w:r w:rsidR="00643C2B">
        <w:t xml:space="preserve"> </w:t>
      </w:r>
      <w:r w:rsidR="009A09FE">
        <w:t>organisée, en avril 2011</w:t>
      </w:r>
      <w:r w:rsidR="0029211D">
        <w:t>;</w:t>
      </w:r>
    </w:p>
    <w:p w:rsidR="009A09FE" w:rsidRDefault="00F1508B" w:rsidP="004E0F3A">
      <w:pPr>
        <w:pStyle w:val="SingleTxtG"/>
        <w:ind w:firstLine="567"/>
      </w:pPr>
      <w:r>
        <w:t>d)</w:t>
      </w:r>
      <w:r>
        <w:tab/>
        <w:t>Reconnaissance de la compétence du Comité pour recevoir et examiner les communications individuelles en vertu de l’article 22 de la Convention</w:t>
      </w:r>
      <w:r w:rsidR="00643C2B">
        <w:t>;</w:t>
      </w:r>
      <w:r w:rsidR="009A09FE">
        <w:t xml:space="preserve"> </w:t>
      </w:r>
    </w:p>
    <w:p w:rsidR="009A09FE" w:rsidRPr="00435939" w:rsidRDefault="00F1508B" w:rsidP="00BC07EA">
      <w:pPr>
        <w:pStyle w:val="SingleTxtG"/>
        <w:ind w:firstLine="567"/>
      </w:pPr>
      <w:r>
        <w:t>e</w:t>
      </w:r>
      <w:r w:rsidR="009A09FE">
        <w:t>)</w:t>
      </w:r>
      <w:r w:rsidR="009A09FE">
        <w:tab/>
      </w:r>
      <w:r>
        <w:t>Retrait</w:t>
      </w:r>
      <w:r w:rsidR="009A09FE">
        <w:t xml:space="preserve"> de plusieurs réserves </w:t>
      </w:r>
      <w:r w:rsidR="00F84B57">
        <w:t>exprimées</w:t>
      </w:r>
      <w:r w:rsidR="004E0F3A">
        <w:t xml:space="preserve"> </w:t>
      </w:r>
      <w:r w:rsidR="00124E64">
        <w:t>au regard d’</w:t>
      </w:r>
      <w:r w:rsidR="009A09FE">
        <w:t xml:space="preserve">un certain nombre de </w:t>
      </w:r>
      <w:r w:rsidR="00124E64">
        <w:t>c</w:t>
      </w:r>
      <w:r w:rsidR="009A09FE">
        <w:t>onventions internationales</w:t>
      </w:r>
      <w:r w:rsidR="00CE3D6C">
        <w:t xml:space="preserve">, notamment de </w:t>
      </w:r>
      <w:r w:rsidR="009A09FE">
        <w:t xml:space="preserve">la réserve </w:t>
      </w:r>
      <w:r w:rsidR="00BC07EA">
        <w:t>aux</w:t>
      </w:r>
      <w:r w:rsidR="009A09FE">
        <w:t xml:space="preserve"> article</w:t>
      </w:r>
      <w:r w:rsidR="00BC07EA">
        <w:t>s</w:t>
      </w:r>
      <w:r w:rsidR="009A09FE">
        <w:t xml:space="preserve"> 14 de la Convention internationale sur l’élimination de toutes les formes de discrimination raciale</w:t>
      </w:r>
      <w:r w:rsidR="000B3042">
        <w:t xml:space="preserve"> et </w:t>
      </w:r>
      <w:r w:rsidR="009A09FE">
        <w:t xml:space="preserve">de la Convention relative aux droits de l’enfant ainsi que </w:t>
      </w:r>
      <w:r w:rsidR="00CE3D6C">
        <w:t xml:space="preserve">de </w:t>
      </w:r>
      <w:r w:rsidR="009A09FE">
        <w:t>toutes les réserves à la Convention sur l’élimination de toutes les formes de discrimination à l’égard des femmes.</w:t>
      </w:r>
    </w:p>
    <w:p w:rsidR="009A09FE" w:rsidRDefault="009A09FE" w:rsidP="00E44BBF">
      <w:pPr>
        <w:pStyle w:val="SingleTxtG"/>
      </w:pPr>
      <w:r>
        <w:t>4</w:t>
      </w:r>
      <w:r w:rsidRPr="00435939">
        <w:t>.</w:t>
      </w:r>
      <w:r w:rsidRPr="00435939">
        <w:tab/>
        <w:t>Le Comité prend</w:t>
      </w:r>
      <w:r>
        <w:t xml:space="preserve"> également</w:t>
      </w:r>
      <w:r w:rsidRPr="00435939">
        <w:t xml:space="preserve"> note avec satisfaction de</w:t>
      </w:r>
      <w:r>
        <w:t>s éléments suivants</w:t>
      </w:r>
      <w:r w:rsidRPr="00435939">
        <w:t>:</w:t>
      </w:r>
    </w:p>
    <w:p w:rsidR="009A09FE" w:rsidRDefault="009A09FE" w:rsidP="00517818">
      <w:pPr>
        <w:pStyle w:val="SingleTxtG"/>
        <w:ind w:firstLine="567"/>
      </w:pPr>
      <w:r>
        <w:t>a</w:t>
      </w:r>
      <w:r w:rsidRPr="00435939">
        <w:t>)</w:t>
      </w:r>
      <w:r w:rsidRPr="00435939">
        <w:tab/>
      </w:r>
      <w:r>
        <w:t xml:space="preserve">L’adoption par </w:t>
      </w:r>
      <w:r w:rsidR="00BC321A">
        <w:t xml:space="preserve">voie de </w:t>
      </w:r>
      <w:r>
        <w:t>référendum,</w:t>
      </w:r>
      <w:r w:rsidRPr="003C4384">
        <w:t xml:space="preserve"> </w:t>
      </w:r>
      <w:r>
        <w:t>le 1</w:t>
      </w:r>
      <w:r w:rsidRPr="00BC321A">
        <w:rPr>
          <w:vertAlign w:val="superscript"/>
        </w:rPr>
        <w:t>er</w:t>
      </w:r>
      <w:r>
        <w:t xml:space="preserve"> juillet 2011, d’une nouvelle </w:t>
      </w:r>
      <w:r w:rsidR="00BC321A">
        <w:t>C</w:t>
      </w:r>
      <w:r>
        <w:t xml:space="preserve">onstitution </w:t>
      </w:r>
      <w:r w:rsidR="00246FB9">
        <w:t>comportant</w:t>
      </w:r>
      <w:r w:rsidR="00BC321A">
        <w:t xml:space="preserve"> </w:t>
      </w:r>
      <w:r>
        <w:t xml:space="preserve">de </w:t>
      </w:r>
      <w:r w:rsidRPr="008D143C">
        <w:t>nouvelles</w:t>
      </w:r>
      <w:r>
        <w:t xml:space="preserve"> </w:t>
      </w:r>
      <w:r w:rsidRPr="008D143C">
        <w:t>clauses relatives à l’interdiction de la torture et aux</w:t>
      </w:r>
      <w:r>
        <w:t xml:space="preserve"> garanties fondamentales </w:t>
      </w:r>
      <w:r w:rsidR="00517818">
        <w:t>d</w:t>
      </w:r>
      <w:r>
        <w:t>es personnes arrêtées, détenues, poursuivies ou condamnées;</w:t>
      </w:r>
    </w:p>
    <w:p w:rsidR="00F1508B" w:rsidRDefault="00F1508B" w:rsidP="000008FB">
      <w:pPr>
        <w:pStyle w:val="SingleTxtG"/>
        <w:ind w:firstLine="567"/>
      </w:pPr>
      <w:r>
        <w:t xml:space="preserve">b) </w:t>
      </w:r>
      <w:r>
        <w:tab/>
        <w:t>Le processus de réforme du système juridique engagé par l’</w:t>
      </w:r>
      <w:r w:rsidR="00643C2B">
        <w:t>État</w:t>
      </w:r>
      <w:r>
        <w:t xml:space="preserve"> partie afin d’adapter et de transformer les lois et les pratiques dans le pays </w:t>
      </w:r>
      <w:r w:rsidR="000008FB">
        <w:t>en vue</w:t>
      </w:r>
      <w:r w:rsidR="008B4AD7">
        <w:t xml:space="preserve"> de</w:t>
      </w:r>
      <w:r>
        <w:t xml:space="preserve"> les rendre conformes </w:t>
      </w:r>
      <w:r w:rsidR="008B4AD7">
        <w:t>à ses</w:t>
      </w:r>
      <w:r>
        <w:t xml:space="preserve"> obligations internationales</w:t>
      </w:r>
      <w:r w:rsidR="00643C2B">
        <w:t>;</w:t>
      </w:r>
    </w:p>
    <w:p w:rsidR="009A09FE" w:rsidRDefault="00F1508B" w:rsidP="00397799">
      <w:pPr>
        <w:pStyle w:val="SingleTxtG"/>
        <w:ind w:firstLine="567"/>
      </w:pPr>
      <w:r>
        <w:t>c</w:t>
      </w:r>
      <w:r w:rsidR="009A09FE">
        <w:t>)</w:t>
      </w:r>
      <w:r w:rsidR="009A09FE">
        <w:tab/>
        <w:t>L’établissement du Conseil national des droits de l’homme, le 1</w:t>
      </w:r>
      <w:r w:rsidR="009A09FE" w:rsidRPr="009A09FE">
        <w:rPr>
          <w:vertAlign w:val="superscript"/>
        </w:rPr>
        <w:t>er</w:t>
      </w:r>
      <w:r w:rsidR="009A09FE">
        <w:t xml:space="preserve"> mars 2011, qui a remplacé le Conseil consultatif des droits de l’homme et bénéficie de pouvoirs élargis</w:t>
      </w:r>
      <w:r w:rsidR="000008FB">
        <w:t>,</w:t>
      </w:r>
      <w:r w:rsidR="009A09FE">
        <w:t xml:space="preserve"> ainsi que l’établissement d’instances régionales pour la protection des droits de l’homme</w:t>
      </w:r>
      <w:r w:rsidR="00643C2B">
        <w:t>;</w:t>
      </w:r>
    </w:p>
    <w:p w:rsidR="009A09FE" w:rsidRDefault="00F1508B" w:rsidP="00E44BBF">
      <w:pPr>
        <w:pStyle w:val="SingleTxtG"/>
        <w:ind w:firstLine="567"/>
      </w:pPr>
      <w:r>
        <w:t>d</w:t>
      </w:r>
      <w:r w:rsidR="009A09FE">
        <w:t>)</w:t>
      </w:r>
      <w:r w:rsidR="009A09FE">
        <w:tab/>
        <w:t xml:space="preserve">Le moratoire </w:t>
      </w:r>
      <w:r w:rsidR="009A09FE" w:rsidRPr="0029211D">
        <w:rPr>
          <w:iCs/>
        </w:rPr>
        <w:t>de facto</w:t>
      </w:r>
      <w:r w:rsidR="009A09FE">
        <w:t xml:space="preserve"> sur l’exécution des peines capitales</w:t>
      </w:r>
      <w:r w:rsidR="00643C2B">
        <w:t>;</w:t>
      </w:r>
    </w:p>
    <w:p w:rsidR="009A09FE" w:rsidRPr="00435939" w:rsidRDefault="00F1508B" w:rsidP="00D7525C">
      <w:pPr>
        <w:pStyle w:val="SingleTxtG"/>
        <w:ind w:firstLine="567"/>
      </w:pPr>
      <w:r>
        <w:t>e</w:t>
      </w:r>
      <w:r w:rsidR="009A09FE">
        <w:t>)</w:t>
      </w:r>
      <w:r w:rsidR="009A09FE">
        <w:tab/>
        <w:t xml:space="preserve">L’établissement d’un mécanisme de justice transitionnelle, l’Instance </w:t>
      </w:r>
      <w:r w:rsidR="00DE2870">
        <w:t>É</w:t>
      </w:r>
      <w:r w:rsidR="009A09FE">
        <w:t xml:space="preserve">quité et Réconciliation, </w:t>
      </w:r>
      <w:r w:rsidR="00DE2870">
        <w:t xml:space="preserve">chargé </w:t>
      </w:r>
      <w:r w:rsidR="009A09FE">
        <w:t xml:space="preserve">d’établir la vérité sur les violations des droits de l’homme </w:t>
      </w:r>
      <w:r w:rsidR="00DE2870">
        <w:t>intervenues</w:t>
      </w:r>
      <w:r w:rsidR="009A09FE">
        <w:t xml:space="preserve"> entre 1956 et 1999 et </w:t>
      </w:r>
      <w:r w:rsidR="00D7525C">
        <w:t xml:space="preserve">de </w:t>
      </w:r>
      <w:r w:rsidR="009A09FE">
        <w:t>permettre</w:t>
      </w:r>
      <w:r w:rsidR="00D7525C">
        <w:t xml:space="preserve"> </w:t>
      </w:r>
      <w:r w:rsidR="009A09FE">
        <w:t>une réconciliation nationale</w:t>
      </w:r>
      <w:r w:rsidR="00643C2B">
        <w:t>;</w:t>
      </w:r>
    </w:p>
    <w:p w:rsidR="009A09FE" w:rsidRPr="00B950FF" w:rsidRDefault="00F1508B" w:rsidP="00D33D77">
      <w:pPr>
        <w:pStyle w:val="SingleTxtG"/>
        <w:ind w:firstLine="567"/>
      </w:pPr>
      <w:r>
        <w:t>f</w:t>
      </w:r>
      <w:r w:rsidR="009A09FE">
        <w:t>)</w:t>
      </w:r>
      <w:r w:rsidR="009A09FE" w:rsidRPr="00435939">
        <w:tab/>
      </w:r>
      <w:r w:rsidR="009A09FE">
        <w:t>L</w:t>
      </w:r>
      <w:r w:rsidR="009A09FE" w:rsidRPr="00B950FF">
        <w:t xml:space="preserve">’organisation de différentes activités de formation et de sensibilisation aux droits de l’homme, notamment à l’intention des magistrats et des agents </w:t>
      </w:r>
      <w:r w:rsidR="009A09FE">
        <w:t>pénitentiaires</w:t>
      </w:r>
      <w:r w:rsidR="009A09FE" w:rsidRPr="00B950FF">
        <w:t>.</w:t>
      </w:r>
    </w:p>
    <w:p w:rsidR="009A09FE" w:rsidRPr="009A09FE" w:rsidRDefault="009A09FE" w:rsidP="00E44BBF">
      <w:pPr>
        <w:keepNext/>
        <w:keepLines/>
        <w:tabs>
          <w:tab w:val="right" w:pos="851"/>
        </w:tabs>
        <w:spacing w:before="360" w:after="240" w:line="270" w:lineRule="exact"/>
        <w:ind w:left="1134" w:right="567" w:hanging="1134"/>
        <w:jc w:val="both"/>
        <w:rPr>
          <w:b/>
          <w:sz w:val="24"/>
          <w:szCs w:val="24"/>
        </w:rPr>
      </w:pPr>
      <w:r w:rsidRPr="009A09FE">
        <w:rPr>
          <w:b/>
          <w:sz w:val="24"/>
          <w:szCs w:val="24"/>
        </w:rPr>
        <w:tab/>
        <w:t>C.</w:t>
      </w:r>
      <w:r w:rsidRPr="009A09FE">
        <w:rPr>
          <w:b/>
          <w:sz w:val="24"/>
          <w:szCs w:val="24"/>
        </w:rPr>
        <w:tab/>
        <w:t>Principaux sujets de préoccupation et recommandations</w:t>
      </w:r>
    </w:p>
    <w:p w:rsidR="009A09FE" w:rsidRPr="009A09FE" w:rsidRDefault="00060CB5" w:rsidP="00E44BBF">
      <w:pPr>
        <w:pStyle w:val="H23G"/>
        <w:jc w:val="both"/>
      </w:pPr>
      <w:r>
        <w:tab/>
      </w:r>
      <w:r>
        <w:tab/>
      </w:r>
      <w:r w:rsidR="009A09FE" w:rsidRPr="009A09FE">
        <w:t xml:space="preserve">Définition et criminalisation de la torture </w:t>
      </w:r>
    </w:p>
    <w:p w:rsidR="009A09FE" w:rsidRPr="009A09FE" w:rsidRDefault="009A09FE" w:rsidP="004A20E3">
      <w:pPr>
        <w:spacing w:before="240" w:after="240" w:line="240" w:lineRule="exact"/>
        <w:ind w:left="1134" w:right="567"/>
        <w:jc w:val="both"/>
        <w:rPr>
          <w:bCs/>
        </w:rPr>
      </w:pPr>
      <w:r>
        <w:t>5.</w:t>
      </w:r>
      <w:r>
        <w:tab/>
        <w:t xml:space="preserve">Tout en notant que des projets de loi visant à amender le Code pénal sont actuellement en </w:t>
      </w:r>
      <w:r w:rsidR="001357A2">
        <w:t xml:space="preserve">cours de </w:t>
      </w:r>
      <w:r>
        <w:t>préparation, l</w:t>
      </w:r>
      <w:r w:rsidRPr="009A09FE">
        <w:rPr>
          <w:bCs/>
        </w:rPr>
        <w:t>e Comité reste préoccupé par le fait que la définition de la torture</w:t>
      </w:r>
      <w:r w:rsidR="001357A2">
        <w:rPr>
          <w:bCs/>
        </w:rPr>
        <w:t xml:space="preserve"> telle que</w:t>
      </w:r>
      <w:r w:rsidR="00E31656">
        <w:rPr>
          <w:bCs/>
        </w:rPr>
        <w:t xml:space="preserve"> </w:t>
      </w:r>
      <w:r w:rsidR="001357A2">
        <w:rPr>
          <w:bCs/>
        </w:rPr>
        <w:t>visée à</w:t>
      </w:r>
      <w:r w:rsidR="001357A2" w:rsidRPr="009A09FE">
        <w:rPr>
          <w:bCs/>
        </w:rPr>
        <w:t xml:space="preserve"> </w:t>
      </w:r>
      <w:r w:rsidRPr="009A09FE">
        <w:rPr>
          <w:bCs/>
        </w:rPr>
        <w:t>l’article 231</w:t>
      </w:r>
      <w:r w:rsidR="001357A2">
        <w:rPr>
          <w:bCs/>
        </w:rPr>
        <w:t>.</w:t>
      </w:r>
      <w:r w:rsidRPr="009A09FE">
        <w:rPr>
          <w:bCs/>
        </w:rPr>
        <w:t xml:space="preserve">1 du Code pénal en vigueur </w:t>
      </w:r>
      <w:r w:rsidR="001357A2">
        <w:rPr>
          <w:bCs/>
        </w:rPr>
        <w:t>n’est</w:t>
      </w:r>
      <w:r w:rsidRPr="009A09FE">
        <w:rPr>
          <w:bCs/>
        </w:rPr>
        <w:t xml:space="preserve"> pas pleinement conform</w:t>
      </w:r>
      <w:r w:rsidR="001357A2">
        <w:rPr>
          <w:bCs/>
        </w:rPr>
        <w:t xml:space="preserve">e à </w:t>
      </w:r>
      <w:r w:rsidRPr="009A09FE">
        <w:rPr>
          <w:bCs/>
        </w:rPr>
        <w:t xml:space="preserve">l’article </w:t>
      </w:r>
      <w:r w:rsidR="001357A2">
        <w:rPr>
          <w:bCs/>
        </w:rPr>
        <w:t>premier</w:t>
      </w:r>
      <w:r w:rsidR="001357A2" w:rsidRPr="009A09FE">
        <w:rPr>
          <w:bCs/>
        </w:rPr>
        <w:t xml:space="preserve"> </w:t>
      </w:r>
      <w:r w:rsidRPr="009A09FE">
        <w:rPr>
          <w:bCs/>
        </w:rPr>
        <w:t xml:space="preserve">de la Convention, notamment en raison du champ d’application restreint de </w:t>
      </w:r>
      <w:r w:rsidR="00335264">
        <w:rPr>
          <w:bCs/>
        </w:rPr>
        <w:t>sa</w:t>
      </w:r>
      <w:r w:rsidR="006B5E5B" w:rsidRPr="009A09FE">
        <w:rPr>
          <w:bCs/>
        </w:rPr>
        <w:t xml:space="preserve"> </w:t>
      </w:r>
      <w:r w:rsidRPr="009A09FE">
        <w:rPr>
          <w:bCs/>
        </w:rPr>
        <w:t>définition</w:t>
      </w:r>
      <w:r w:rsidR="006B5E5B">
        <w:rPr>
          <w:bCs/>
        </w:rPr>
        <w:t xml:space="preserve">. </w:t>
      </w:r>
      <w:r w:rsidR="006B5E5B" w:rsidRPr="004A20E3">
        <w:rPr>
          <w:bCs/>
        </w:rPr>
        <w:t>En effet</w:t>
      </w:r>
      <w:r w:rsidRPr="004A20E3">
        <w:rPr>
          <w:bCs/>
        </w:rPr>
        <w:t xml:space="preserve">, </w:t>
      </w:r>
      <w:r w:rsidR="004A20E3" w:rsidRPr="004A20E3">
        <w:rPr>
          <w:bCs/>
        </w:rPr>
        <w:t>l’article 231.1</w:t>
      </w:r>
      <w:r w:rsidR="006B5E5B" w:rsidRPr="004A20E3">
        <w:rPr>
          <w:bCs/>
        </w:rPr>
        <w:t xml:space="preserve"> se </w:t>
      </w:r>
      <w:r w:rsidRPr="004A20E3">
        <w:rPr>
          <w:bCs/>
        </w:rPr>
        <w:t>limit</w:t>
      </w:r>
      <w:r w:rsidR="006B5E5B" w:rsidRPr="004A20E3">
        <w:rPr>
          <w:bCs/>
        </w:rPr>
        <w:t>e</w:t>
      </w:r>
      <w:r w:rsidR="00060CE2" w:rsidRPr="004A20E3">
        <w:rPr>
          <w:bCs/>
        </w:rPr>
        <w:t xml:space="preserve"> </w:t>
      </w:r>
      <w:r w:rsidRPr="004A20E3">
        <w:rPr>
          <w:bCs/>
        </w:rPr>
        <w:t xml:space="preserve">aux buts énoncés dans l’article </w:t>
      </w:r>
      <w:r w:rsidR="00335264" w:rsidRPr="004A20E3">
        <w:rPr>
          <w:bCs/>
        </w:rPr>
        <w:t xml:space="preserve">premier </w:t>
      </w:r>
      <w:r w:rsidRPr="003D10B2">
        <w:rPr>
          <w:bCs/>
        </w:rPr>
        <w:t xml:space="preserve">et </w:t>
      </w:r>
      <w:r w:rsidR="00B35082" w:rsidRPr="003D10B2">
        <w:rPr>
          <w:bCs/>
        </w:rPr>
        <w:t>n</w:t>
      </w:r>
      <w:r w:rsidRPr="003D10B2">
        <w:rPr>
          <w:bCs/>
        </w:rPr>
        <w:t>e couvre</w:t>
      </w:r>
      <w:r w:rsidRPr="004A20E3">
        <w:rPr>
          <w:bCs/>
        </w:rPr>
        <w:t xml:space="preserve"> </w:t>
      </w:r>
      <w:r w:rsidR="00B35082" w:rsidRPr="004A20E3">
        <w:rPr>
          <w:bCs/>
        </w:rPr>
        <w:t>ni</w:t>
      </w:r>
      <w:r w:rsidRPr="004A20E3">
        <w:rPr>
          <w:bCs/>
        </w:rPr>
        <w:t xml:space="preserve"> </w:t>
      </w:r>
      <w:r w:rsidR="00074D5D" w:rsidRPr="004A20E3">
        <w:rPr>
          <w:bCs/>
        </w:rPr>
        <w:t>la</w:t>
      </w:r>
      <w:r w:rsidR="00E31656">
        <w:rPr>
          <w:bCs/>
        </w:rPr>
        <w:t xml:space="preserve"> </w:t>
      </w:r>
      <w:r w:rsidRPr="004A20E3">
        <w:rPr>
          <w:bCs/>
        </w:rPr>
        <w:t>complicité</w:t>
      </w:r>
      <w:r w:rsidR="00074D5D" w:rsidRPr="004A20E3">
        <w:rPr>
          <w:bCs/>
        </w:rPr>
        <w:t xml:space="preserve"> </w:t>
      </w:r>
      <w:r w:rsidR="00B35082" w:rsidRPr="004A20E3">
        <w:rPr>
          <w:bCs/>
        </w:rPr>
        <w:t>ni</w:t>
      </w:r>
      <w:r w:rsidRPr="004A20E3">
        <w:rPr>
          <w:bCs/>
        </w:rPr>
        <w:t xml:space="preserve"> </w:t>
      </w:r>
      <w:r w:rsidR="00074D5D" w:rsidRPr="004A20E3">
        <w:rPr>
          <w:bCs/>
        </w:rPr>
        <w:t>l</w:t>
      </w:r>
      <w:r w:rsidRPr="004A20E3">
        <w:rPr>
          <w:bCs/>
        </w:rPr>
        <w:t>e consentement exprès ou tacite d’un agent de la force publique ou de toute</w:t>
      </w:r>
      <w:r w:rsidRPr="009A09FE">
        <w:rPr>
          <w:bCs/>
        </w:rPr>
        <w:t xml:space="preserve"> autre personne agissant à titre officiel. De plus, le Comité regrette l’absence dans le Code pénal d’une disposition rendant imprescriptible le crime de torture </w:t>
      </w:r>
      <w:r w:rsidR="008900C6">
        <w:rPr>
          <w:bCs/>
        </w:rPr>
        <w:t>malgré</w:t>
      </w:r>
      <w:r w:rsidRPr="009A09FE">
        <w:rPr>
          <w:bCs/>
        </w:rPr>
        <w:t xml:space="preserve"> ses précédentes recommandations en ce sens</w:t>
      </w:r>
      <w:r w:rsidRPr="009A09FE">
        <w:rPr>
          <w:bCs/>
          <w:sz w:val="18"/>
          <w:vertAlign w:val="superscript"/>
        </w:rPr>
        <w:footnoteReference w:id="2"/>
      </w:r>
      <w:r w:rsidRPr="009A09FE">
        <w:rPr>
          <w:bCs/>
        </w:rPr>
        <w:t xml:space="preserve"> (art. 1 et</w:t>
      </w:r>
      <w:r w:rsidR="00E31656">
        <w:rPr>
          <w:bCs/>
        </w:rPr>
        <w:t xml:space="preserve"> </w:t>
      </w:r>
      <w:r w:rsidRPr="009A09FE">
        <w:rPr>
          <w:bCs/>
        </w:rPr>
        <w:t>4)</w:t>
      </w:r>
      <w:r w:rsidR="007344EE">
        <w:rPr>
          <w:bCs/>
        </w:rPr>
        <w:t>.</w:t>
      </w:r>
    </w:p>
    <w:p w:rsidR="009A09FE" w:rsidRPr="009A09FE" w:rsidRDefault="00060CB5" w:rsidP="00677E3E">
      <w:pPr>
        <w:pStyle w:val="H23G"/>
        <w:jc w:val="both"/>
      </w:pPr>
      <w:r>
        <w:tab/>
      </w:r>
      <w:r>
        <w:tab/>
      </w:r>
      <w:r w:rsidR="009A09FE" w:rsidRPr="009A09FE">
        <w:t>L’</w:t>
      </w:r>
      <w:r w:rsidR="00643C2B">
        <w:t>État</w:t>
      </w:r>
      <w:r w:rsidR="009A09FE" w:rsidRPr="009A09FE">
        <w:t xml:space="preserve"> partie devrait s’assurer que les projets de loi actuellement devant le Parlement étendent le champ d’application de la définition de la torture</w:t>
      </w:r>
      <w:r w:rsidR="0000251A">
        <w:t>,</w:t>
      </w:r>
      <w:r w:rsidR="009A09FE" w:rsidRPr="009A09FE">
        <w:t xml:space="preserve"> conformément à l’article </w:t>
      </w:r>
      <w:r w:rsidR="0000251A">
        <w:t>premier</w:t>
      </w:r>
      <w:r w:rsidR="0000251A" w:rsidRPr="009A09FE">
        <w:t xml:space="preserve"> </w:t>
      </w:r>
      <w:r w:rsidR="009A09FE" w:rsidRPr="009A09FE">
        <w:t>de la Convention contre la torture. L’</w:t>
      </w:r>
      <w:r w:rsidR="00643C2B">
        <w:t>État</w:t>
      </w:r>
      <w:r w:rsidR="009A09FE" w:rsidRPr="009A09FE">
        <w:t xml:space="preserve"> partie</w:t>
      </w:r>
      <w:r w:rsidR="00DA3F9A">
        <w:t>,</w:t>
      </w:r>
      <w:r w:rsidR="00DA3F9A" w:rsidRPr="009A09FE">
        <w:t xml:space="preserve"> conformément à </w:t>
      </w:r>
      <w:r w:rsidR="00DA3F9A">
        <w:t>s</w:t>
      </w:r>
      <w:r w:rsidR="00DA3F9A" w:rsidRPr="009A09FE">
        <w:t xml:space="preserve">es obligations internationales, </w:t>
      </w:r>
      <w:r w:rsidR="009A09FE" w:rsidRPr="009A09FE">
        <w:t>devrait s’assurer que</w:t>
      </w:r>
      <w:r w:rsidR="00DA3F9A">
        <w:t xml:space="preserve"> </w:t>
      </w:r>
      <w:r w:rsidR="009A09FE" w:rsidRPr="009A09FE">
        <w:t>qui</w:t>
      </w:r>
      <w:r w:rsidR="0000251A">
        <w:t>conque</w:t>
      </w:r>
      <w:r w:rsidR="009A09FE" w:rsidRPr="009A09FE">
        <w:t xml:space="preserve"> se rend coupable</w:t>
      </w:r>
      <w:r w:rsidR="003B52F9">
        <w:t xml:space="preserve"> ou</w:t>
      </w:r>
      <w:r w:rsidR="00E31656">
        <w:t xml:space="preserve"> </w:t>
      </w:r>
      <w:r w:rsidR="00DA3F9A">
        <w:t>complice</w:t>
      </w:r>
      <w:r w:rsidR="003B52F9">
        <w:t xml:space="preserve"> d’actes de torture</w:t>
      </w:r>
      <w:r w:rsidR="00DA3F9A">
        <w:t xml:space="preserve">, </w:t>
      </w:r>
      <w:r w:rsidR="00DA3F9A" w:rsidRPr="009A09FE">
        <w:t>tente de commettre</w:t>
      </w:r>
      <w:r w:rsidR="00DA3F9A">
        <w:t xml:space="preserve"> </w:t>
      </w:r>
      <w:r w:rsidR="009A09FE" w:rsidRPr="009A09FE">
        <w:t>d</w:t>
      </w:r>
      <w:r w:rsidR="003B52F9">
        <w:t>e tels</w:t>
      </w:r>
      <w:r w:rsidR="00DA3F9A">
        <w:t xml:space="preserve"> </w:t>
      </w:r>
      <w:r w:rsidR="009A09FE" w:rsidRPr="009A09FE">
        <w:t>actes</w:t>
      </w:r>
      <w:r w:rsidR="00483DB8">
        <w:t xml:space="preserve"> </w:t>
      </w:r>
      <w:r w:rsidR="009A09FE" w:rsidRPr="009A09FE">
        <w:t xml:space="preserve">ou participe </w:t>
      </w:r>
      <w:r w:rsidR="00DA3F9A">
        <w:t xml:space="preserve">à leur commission </w:t>
      </w:r>
      <w:r w:rsidR="004A1B60">
        <w:t>f</w:t>
      </w:r>
      <w:r w:rsidR="00677E3E">
        <w:t>asse</w:t>
      </w:r>
      <w:r w:rsidR="001B074A">
        <w:t xml:space="preserve"> </w:t>
      </w:r>
      <w:r w:rsidR="009A09FE" w:rsidRPr="00DA3F9A">
        <w:t>l’objet d’</w:t>
      </w:r>
      <w:r w:rsidR="003A72E6" w:rsidRPr="00DA3F9A">
        <w:t xml:space="preserve">une </w:t>
      </w:r>
      <w:r w:rsidR="009A09FE" w:rsidRPr="00DA3F9A">
        <w:t>enquête</w:t>
      </w:r>
      <w:r w:rsidR="00DA3F9A" w:rsidRPr="00DA3F9A">
        <w:t>,</w:t>
      </w:r>
      <w:r w:rsidR="009A09FE" w:rsidRPr="00DA3F9A">
        <w:t xml:space="preserve"> </w:t>
      </w:r>
      <w:r w:rsidR="00DA3F9A" w:rsidRPr="00DA3F9A">
        <w:t xml:space="preserve">de </w:t>
      </w:r>
      <w:r w:rsidR="009A09FE" w:rsidRPr="00DA3F9A">
        <w:t>poursui</w:t>
      </w:r>
      <w:r w:rsidR="00DA3F9A" w:rsidRPr="00DA3F9A">
        <w:t xml:space="preserve">tes </w:t>
      </w:r>
      <w:r w:rsidR="009A09FE" w:rsidRPr="00DA3F9A">
        <w:t xml:space="preserve">et </w:t>
      </w:r>
      <w:r w:rsidR="00DA3F9A" w:rsidRPr="00DA3F9A">
        <w:t xml:space="preserve">d’un châtiment </w:t>
      </w:r>
      <w:r w:rsidR="009A09FE" w:rsidRPr="00DA3F9A">
        <w:t xml:space="preserve">sans </w:t>
      </w:r>
      <w:r w:rsidR="00483DB8">
        <w:t>pouvoir</w:t>
      </w:r>
      <w:r w:rsidR="00E31656">
        <w:t xml:space="preserve"> </w:t>
      </w:r>
      <w:r w:rsidR="009A09FE" w:rsidRPr="00DA3F9A">
        <w:t>bénéficier d’un délai de prescription.</w:t>
      </w:r>
    </w:p>
    <w:p w:rsidR="009A09FE" w:rsidRPr="009A09FE" w:rsidRDefault="009A09FE" w:rsidP="00A045E9">
      <w:pPr>
        <w:pStyle w:val="SingleTxtG"/>
      </w:pPr>
      <w:r w:rsidRPr="009A09FE">
        <w:t>6.</w:t>
      </w:r>
      <w:r w:rsidRPr="009A09FE">
        <w:tab/>
        <w:t xml:space="preserve">Le Comité se déclare préoccupé par certaines dispositions </w:t>
      </w:r>
      <w:r w:rsidR="00480A12">
        <w:t>contenues dans le</w:t>
      </w:r>
      <w:r w:rsidRPr="009A09FE">
        <w:t xml:space="preserve"> cadre juridique actuel relatif à la torture, en particulier la possibilité d’amnistie</w:t>
      </w:r>
      <w:r w:rsidR="00480A12">
        <w:t>r</w:t>
      </w:r>
      <w:r w:rsidRPr="009A09FE">
        <w:t xml:space="preserve"> et de gr</w:t>
      </w:r>
      <w:r w:rsidR="00480A12">
        <w:t>a</w:t>
      </w:r>
      <w:r w:rsidRPr="009A09FE">
        <w:t>c</w:t>
      </w:r>
      <w:r w:rsidR="00480A12">
        <w:t>i</w:t>
      </w:r>
      <w:r w:rsidRPr="009A09FE">
        <w:t>e</w:t>
      </w:r>
      <w:r w:rsidR="00480A12">
        <w:t>r</w:t>
      </w:r>
      <w:r w:rsidRPr="009A09FE">
        <w:t xml:space="preserve"> les auteurs d</w:t>
      </w:r>
      <w:r w:rsidR="00480A12">
        <w:t>’actes d</w:t>
      </w:r>
      <w:r w:rsidRPr="009A09FE">
        <w:t>e torture</w:t>
      </w:r>
      <w:r w:rsidR="00657091">
        <w:t>;</w:t>
      </w:r>
      <w:r w:rsidRPr="009A09FE">
        <w:t xml:space="preserve"> par l’absence de </w:t>
      </w:r>
      <w:r w:rsidR="001E1198">
        <w:t xml:space="preserve">toute </w:t>
      </w:r>
      <w:r w:rsidRPr="009A09FE">
        <w:t>disposition spécifique établissant clairement l’impossibilité de se prévaloir d</w:t>
      </w:r>
      <w:r w:rsidR="00480A12">
        <w:t>e l</w:t>
      </w:r>
      <w:r w:rsidRPr="009A09FE">
        <w:t>’ordre d’un supérieur ou d’une autorité publique pour justifier la torture</w:t>
      </w:r>
      <w:r w:rsidR="00657091">
        <w:t>;</w:t>
      </w:r>
      <w:r w:rsidR="001E1198">
        <w:t xml:space="preserve"> et </w:t>
      </w:r>
      <w:r w:rsidRPr="009A09FE">
        <w:t xml:space="preserve">par l’absence d’un mécanisme spécifique de protection </w:t>
      </w:r>
      <w:r w:rsidR="001E1198">
        <w:t>d</w:t>
      </w:r>
      <w:r w:rsidRPr="009A09FE">
        <w:t>es subordonnés qui refuseraient d</w:t>
      </w:r>
      <w:r w:rsidR="001E1198">
        <w:t>’obéir à l’</w:t>
      </w:r>
      <w:r w:rsidRPr="009A09FE">
        <w:t>ordre de torturer une personne placée sous leur garde (art. 2 et 7)</w:t>
      </w:r>
      <w:r w:rsidR="007344EE">
        <w:t>.</w:t>
      </w:r>
      <w:r w:rsidRPr="009A09FE">
        <w:t xml:space="preserve"> </w:t>
      </w:r>
    </w:p>
    <w:p w:rsidR="009A09FE" w:rsidRPr="00060CB5" w:rsidRDefault="009A09FE" w:rsidP="00A50645">
      <w:pPr>
        <w:pStyle w:val="SingleTxtG"/>
        <w:rPr>
          <w:b/>
        </w:rPr>
      </w:pPr>
      <w:r w:rsidRPr="00060CB5">
        <w:rPr>
          <w:b/>
        </w:rPr>
        <w:t>L’</w:t>
      </w:r>
      <w:r w:rsidR="00643C2B">
        <w:rPr>
          <w:b/>
        </w:rPr>
        <w:t>État</w:t>
      </w:r>
      <w:r w:rsidRPr="00060CB5">
        <w:rPr>
          <w:b/>
        </w:rPr>
        <w:t xml:space="preserve"> partie devrait s’assurer </w:t>
      </w:r>
      <w:r w:rsidR="005C0E3A">
        <w:rPr>
          <w:b/>
        </w:rPr>
        <w:t>que</w:t>
      </w:r>
      <w:r w:rsidRPr="00060CB5">
        <w:rPr>
          <w:b/>
        </w:rPr>
        <w:t xml:space="preserve"> son cadre juridique</w:t>
      </w:r>
      <w:r w:rsidR="005C0E3A">
        <w:rPr>
          <w:b/>
        </w:rPr>
        <w:t xml:space="preserve"> prévoi</w:t>
      </w:r>
      <w:r w:rsidR="00677E3E">
        <w:rPr>
          <w:b/>
        </w:rPr>
        <w:t>e</w:t>
      </w:r>
      <w:r w:rsidR="005C0E3A">
        <w:rPr>
          <w:b/>
        </w:rPr>
        <w:t xml:space="preserve"> l’</w:t>
      </w:r>
      <w:r w:rsidRPr="00060CB5">
        <w:rPr>
          <w:b/>
        </w:rPr>
        <w:t>interdi</w:t>
      </w:r>
      <w:r w:rsidR="005C0E3A">
        <w:rPr>
          <w:b/>
        </w:rPr>
        <w:t xml:space="preserve">ction de toute </w:t>
      </w:r>
      <w:r w:rsidRPr="00060CB5">
        <w:rPr>
          <w:b/>
        </w:rPr>
        <w:t xml:space="preserve">amnistie </w:t>
      </w:r>
      <w:r w:rsidR="003C4D55">
        <w:rPr>
          <w:b/>
        </w:rPr>
        <w:t xml:space="preserve">éventuelle </w:t>
      </w:r>
      <w:r w:rsidR="005C0E3A">
        <w:rPr>
          <w:b/>
        </w:rPr>
        <w:t>d</w:t>
      </w:r>
      <w:r w:rsidR="0011385C">
        <w:rPr>
          <w:b/>
        </w:rPr>
        <w:t>es crimes de torture et</w:t>
      </w:r>
      <w:r w:rsidR="003C4D55">
        <w:rPr>
          <w:b/>
        </w:rPr>
        <w:t xml:space="preserve"> de</w:t>
      </w:r>
      <w:r w:rsidR="0011385C">
        <w:rPr>
          <w:b/>
        </w:rPr>
        <w:t xml:space="preserve"> </w:t>
      </w:r>
      <w:r w:rsidR="005C0E3A">
        <w:rPr>
          <w:b/>
        </w:rPr>
        <w:t>tou</w:t>
      </w:r>
      <w:r w:rsidR="003C4D55">
        <w:rPr>
          <w:b/>
        </w:rPr>
        <w:t>t</w:t>
      </w:r>
      <w:r w:rsidR="0011385C">
        <w:rPr>
          <w:b/>
        </w:rPr>
        <w:t xml:space="preserve"> </w:t>
      </w:r>
      <w:r w:rsidR="0011385C" w:rsidRPr="004102B8">
        <w:rPr>
          <w:b/>
        </w:rPr>
        <w:t>pardon en</w:t>
      </w:r>
      <w:r w:rsidR="0011385C">
        <w:rPr>
          <w:b/>
        </w:rPr>
        <w:t xml:space="preserve"> violation de la Convention</w:t>
      </w:r>
      <w:r w:rsidRPr="00060CB5">
        <w:rPr>
          <w:b/>
        </w:rPr>
        <w:t xml:space="preserve">. </w:t>
      </w:r>
      <w:r w:rsidR="004A3C38">
        <w:rPr>
          <w:b/>
        </w:rPr>
        <w:t>Il</w:t>
      </w:r>
      <w:r w:rsidRPr="00060CB5">
        <w:rPr>
          <w:b/>
        </w:rPr>
        <w:t xml:space="preserve"> devrait également modifier sa législation de façon à établir explicitement que l’ordre d’un supérieur ou d’une autorité publique ne </w:t>
      </w:r>
      <w:r w:rsidR="004A3C38">
        <w:rPr>
          <w:b/>
        </w:rPr>
        <w:t xml:space="preserve">saurait </w:t>
      </w:r>
      <w:r w:rsidRPr="00060CB5">
        <w:rPr>
          <w:b/>
        </w:rPr>
        <w:t>être invoqué pour justifier la torture</w:t>
      </w:r>
      <w:r w:rsidR="004A3C38">
        <w:rPr>
          <w:b/>
        </w:rPr>
        <w:t>.</w:t>
      </w:r>
      <w:r w:rsidRPr="00060CB5">
        <w:rPr>
          <w:b/>
        </w:rPr>
        <w:t xml:space="preserve"> </w:t>
      </w:r>
      <w:r w:rsidR="004A3C38">
        <w:rPr>
          <w:b/>
        </w:rPr>
        <w:t>L’État partie devrait instaurer</w:t>
      </w:r>
      <w:r w:rsidRPr="00060CB5">
        <w:rPr>
          <w:b/>
        </w:rPr>
        <w:t xml:space="preserve"> un mécanisme </w:t>
      </w:r>
      <w:r w:rsidR="00B125FE">
        <w:rPr>
          <w:b/>
        </w:rPr>
        <w:t>visant à</w:t>
      </w:r>
      <w:r w:rsidR="00B125FE" w:rsidRPr="00060CB5">
        <w:rPr>
          <w:b/>
        </w:rPr>
        <w:t xml:space="preserve"> </w:t>
      </w:r>
      <w:r w:rsidRPr="00060CB5">
        <w:rPr>
          <w:b/>
        </w:rPr>
        <w:t>protéger les subordonnés qui refusent d</w:t>
      </w:r>
      <w:r w:rsidR="005A7DF1">
        <w:rPr>
          <w:b/>
        </w:rPr>
        <w:t xml:space="preserve">’obéir à un </w:t>
      </w:r>
      <w:r w:rsidRPr="00060CB5">
        <w:rPr>
          <w:b/>
        </w:rPr>
        <w:t xml:space="preserve">tel ordre. </w:t>
      </w:r>
      <w:r w:rsidR="00E53E64">
        <w:rPr>
          <w:b/>
        </w:rPr>
        <w:t xml:space="preserve">Il </w:t>
      </w:r>
      <w:r w:rsidRPr="00060CB5">
        <w:rPr>
          <w:b/>
        </w:rPr>
        <w:t xml:space="preserve">devrait </w:t>
      </w:r>
      <w:r w:rsidR="00E53E64">
        <w:rPr>
          <w:b/>
        </w:rPr>
        <w:t xml:space="preserve">en outre </w:t>
      </w:r>
      <w:r w:rsidRPr="00060CB5">
        <w:rPr>
          <w:b/>
        </w:rPr>
        <w:t xml:space="preserve">largement </w:t>
      </w:r>
      <w:r w:rsidRPr="003D10B2">
        <w:rPr>
          <w:b/>
        </w:rPr>
        <w:t xml:space="preserve">diffuser </w:t>
      </w:r>
      <w:r w:rsidR="00A50645" w:rsidRPr="003D10B2">
        <w:rPr>
          <w:b/>
        </w:rPr>
        <w:t>l’</w:t>
      </w:r>
      <w:r w:rsidR="00836ECC" w:rsidRPr="003D10B2">
        <w:rPr>
          <w:b/>
        </w:rPr>
        <w:t>interdiction d’obéir</w:t>
      </w:r>
      <w:r w:rsidR="00836ECC" w:rsidRPr="00A50645">
        <w:rPr>
          <w:b/>
        </w:rPr>
        <w:t xml:space="preserve"> à un tel ordre</w:t>
      </w:r>
      <w:r w:rsidR="00836ECC">
        <w:rPr>
          <w:b/>
        </w:rPr>
        <w:t xml:space="preserve"> a</w:t>
      </w:r>
      <w:r w:rsidR="00E53E64">
        <w:rPr>
          <w:b/>
        </w:rPr>
        <w:t>insi que</w:t>
      </w:r>
      <w:r w:rsidR="00E53E64" w:rsidRPr="00060CB5">
        <w:rPr>
          <w:b/>
        </w:rPr>
        <w:t xml:space="preserve"> </w:t>
      </w:r>
      <w:r w:rsidRPr="00060CB5">
        <w:rPr>
          <w:b/>
        </w:rPr>
        <w:t xml:space="preserve">les mécanismes de protection y afférents auprès de </w:t>
      </w:r>
      <w:r w:rsidR="00855013">
        <w:rPr>
          <w:b/>
        </w:rPr>
        <w:t>l’ensemble d</w:t>
      </w:r>
      <w:r w:rsidRPr="00060CB5">
        <w:rPr>
          <w:b/>
        </w:rPr>
        <w:t xml:space="preserve">es forces de l’ordre. </w:t>
      </w:r>
    </w:p>
    <w:p w:rsidR="009A09FE" w:rsidRPr="009A09FE" w:rsidRDefault="00060CB5" w:rsidP="00E44BBF">
      <w:pPr>
        <w:pStyle w:val="H23G"/>
        <w:jc w:val="both"/>
      </w:pPr>
      <w:r>
        <w:tab/>
      </w:r>
      <w:r>
        <w:tab/>
      </w:r>
      <w:r w:rsidR="009A09FE" w:rsidRPr="009A09FE">
        <w:t>Garanties juridiques fondamentales</w:t>
      </w:r>
    </w:p>
    <w:p w:rsidR="009A09FE" w:rsidRPr="009A09FE" w:rsidRDefault="009A09FE" w:rsidP="00A64B9F">
      <w:pPr>
        <w:pStyle w:val="SingleTxtG"/>
        <w:rPr>
          <w:bCs/>
        </w:rPr>
      </w:pPr>
      <w:r w:rsidRPr="009A09FE">
        <w:rPr>
          <w:bCs/>
        </w:rPr>
        <w:t>7.</w:t>
      </w:r>
      <w:r w:rsidRPr="009A09FE">
        <w:rPr>
          <w:bCs/>
        </w:rPr>
        <w:tab/>
        <w:t xml:space="preserve">Le Comité note la consécration </w:t>
      </w:r>
      <w:r w:rsidR="0024291D">
        <w:rPr>
          <w:bCs/>
        </w:rPr>
        <w:t xml:space="preserve">par </w:t>
      </w:r>
      <w:r w:rsidRPr="009A09FE">
        <w:rPr>
          <w:bCs/>
        </w:rPr>
        <w:t xml:space="preserve">le droit positif marocain de </w:t>
      </w:r>
      <w:r w:rsidR="00F84B8E">
        <w:rPr>
          <w:bCs/>
        </w:rPr>
        <w:t>plusieurs</w:t>
      </w:r>
      <w:r w:rsidR="00F84B8E" w:rsidRPr="009A09FE">
        <w:rPr>
          <w:bCs/>
        </w:rPr>
        <w:t xml:space="preserve"> </w:t>
      </w:r>
      <w:r w:rsidRPr="009A09FE">
        <w:rPr>
          <w:bCs/>
        </w:rPr>
        <w:t xml:space="preserve">garanties fondamentales </w:t>
      </w:r>
      <w:r w:rsidR="0024291D">
        <w:rPr>
          <w:bCs/>
        </w:rPr>
        <w:t>en faveur d</w:t>
      </w:r>
      <w:r w:rsidRPr="009A09FE">
        <w:rPr>
          <w:bCs/>
        </w:rPr>
        <w:t>es personnes détenues dans le but de prévenir les actes de torture</w:t>
      </w:r>
      <w:r w:rsidR="00120207">
        <w:rPr>
          <w:bCs/>
        </w:rPr>
        <w:t>. Il prend également acte d</w:t>
      </w:r>
      <w:r w:rsidRPr="009A09FE">
        <w:rPr>
          <w:bCs/>
        </w:rPr>
        <w:t>es projets de réforme législati</w:t>
      </w:r>
      <w:r w:rsidR="00120207">
        <w:rPr>
          <w:bCs/>
        </w:rPr>
        <w:t>ve</w:t>
      </w:r>
      <w:r w:rsidRPr="009A09FE">
        <w:rPr>
          <w:bCs/>
        </w:rPr>
        <w:t xml:space="preserve"> visant</w:t>
      </w:r>
      <w:r w:rsidR="00FA1204">
        <w:rPr>
          <w:bCs/>
        </w:rPr>
        <w:t xml:space="preserve">, </w:t>
      </w:r>
      <w:r w:rsidR="00120207">
        <w:rPr>
          <w:bCs/>
        </w:rPr>
        <w:t xml:space="preserve">entre </w:t>
      </w:r>
      <w:r w:rsidR="00FA1204">
        <w:rPr>
          <w:bCs/>
        </w:rPr>
        <w:t>autres propositions importantes,</w:t>
      </w:r>
      <w:r w:rsidRPr="009A09FE">
        <w:rPr>
          <w:bCs/>
        </w:rPr>
        <w:t xml:space="preserve"> à permettre un accès plus rapide à </w:t>
      </w:r>
      <w:r w:rsidR="00120207">
        <w:rPr>
          <w:bCs/>
        </w:rPr>
        <w:t xml:space="preserve">un </w:t>
      </w:r>
      <w:r w:rsidRPr="009A09FE">
        <w:rPr>
          <w:bCs/>
        </w:rPr>
        <w:t>avocat au cours de</w:t>
      </w:r>
      <w:r w:rsidR="004C543E">
        <w:rPr>
          <w:bCs/>
        </w:rPr>
        <w:t xml:space="preserve"> la</w:t>
      </w:r>
      <w:r w:rsidRPr="009A09FE">
        <w:rPr>
          <w:bCs/>
        </w:rPr>
        <w:t xml:space="preserve"> garde à vue. </w:t>
      </w:r>
      <w:r w:rsidR="00A74631">
        <w:rPr>
          <w:bCs/>
        </w:rPr>
        <w:t xml:space="preserve">Il </w:t>
      </w:r>
      <w:r w:rsidRPr="009A09FE">
        <w:rPr>
          <w:bCs/>
        </w:rPr>
        <w:t>reste néanmoins préoccupé par les restrictions imposées à l’exercice de certaines de ces garanties fondamentales, aussi bien dans le droit positif actuel que dans la pratique.</w:t>
      </w:r>
      <w:r w:rsidRPr="009A09FE">
        <w:rPr>
          <w:rFonts w:ascii="TimesNewRoman" w:hAnsi="TimesNewRoman" w:cs="TimesNewRoman"/>
          <w:sz w:val="24"/>
          <w:szCs w:val="24"/>
          <w:lang w:eastAsia="en-GB"/>
        </w:rPr>
        <w:t xml:space="preserve"> </w:t>
      </w:r>
      <w:r w:rsidRPr="009A09FE">
        <w:rPr>
          <w:bCs/>
        </w:rPr>
        <w:t>Le Comité est notamment préoccupé par le fait que l’avocat</w:t>
      </w:r>
      <w:r w:rsidR="00D00D92">
        <w:rPr>
          <w:bCs/>
        </w:rPr>
        <w:t>,</w:t>
      </w:r>
      <w:r w:rsidRPr="009A09FE">
        <w:rPr>
          <w:bCs/>
        </w:rPr>
        <w:t xml:space="preserve"> </w:t>
      </w:r>
      <w:r w:rsidR="00D00D92">
        <w:rPr>
          <w:bCs/>
        </w:rPr>
        <w:t xml:space="preserve">à l’heure </w:t>
      </w:r>
      <w:r w:rsidRPr="009A09FE">
        <w:rPr>
          <w:bCs/>
        </w:rPr>
        <w:t>actuelle</w:t>
      </w:r>
      <w:r w:rsidR="00D00D92">
        <w:rPr>
          <w:bCs/>
        </w:rPr>
        <w:t>,</w:t>
      </w:r>
      <w:r w:rsidRPr="009A09FE">
        <w:rPr>
          <w:bCs/>
        </w:rPr>
        <w:t xml:space="preserve"> </w:t>
      </w:r>
      <w:r w:rsidR="00D00D92">
        <w:rPr>
          <w:bCs/>
        </w:rPr>
        <w:t xml:space="preserve">ne peut </w:t>
      </w:r>
      <w:r w:rsidRPr="009A09FE">
        <w:rPr>
          <w:bCs/>
        </w:rPr>
        <w:t xml:space="preserve">rencontrer son </w:t>
      </w:r>
      <w:r w:rsidRPr="003D10B2">
        <w:rPr>
          <w:bCs/>
        </w:rPr>
        <w:t>client</w:t>
      </w:r>
      <w:r w:rsidR="00AA3218" w:rsidRPr="003D10B2">
        <w:rPr>
          <w:bCs/>
        </w:rPr>
        <w:t xml:space="preserve"> </w:t>
      </w:r>
      <w:r w:rsidRPr="003D10B2">
        <w:rPr>
          <w:bCs/>
        </w:rPr>
        <w:t>qu</w:t>
      </w:r>
      <w:r w:rsidR="00AA3218" w:rsidRPr="003D10B2">
        <w:rPr>
          <w:bCs/>
        </w:rPr>
        <w:t xml:space="preserve">’à partir de </w:t>
      </w:r>
      <w:r w:rsidRPr="003D10B2">
        <w:rPr>
          <w:bCs/>
        </w:rPr>
        <w:t>la première heure de prolongation</w:t>
      </w:r>
      <w:r w:rsidRPr="009A09FE">
        <w:rPr>
          <w:bCs/>
        </w:rPr>
        <w:t xml:space="preserve"> de la garde à vue</w:t>
      </w:r>
      <w:r w:rsidR="00BC730A" w:rsidRPr="00BC730A">
        <w:rPr>
          <w:bCs/>
        </w:rPr>
        <w:t xml:space="preserve"> </w:t>
      </w:r>
      <w:r w:rsidR="00BC730A">
        <w:rPr>
          <w:bCs/>
        </w:rPr>
        <w:t xml:space="preserve">au </w:t>
      </w:r>
      <w:r w:rsidR="00BC730A" w:rsidRPr="000B1895">
        <w:rPr>
          <w:bCs/>
        </w:rPr>
        <w:t>plus tôt</w:t>
      </w:r>
      <w:r w:rsidRPr="009A09FE">
        <w:rPr>
          <w:bCs/>
        </w:rPr>
        <w:t xml:space="preserve">, </w:t>
      </w:r>
      <w:r w:rsidR="00A64B9F">
        <w:rPr>
          <w:bCs/>
        </w:rPr>
        <w:t xml:space="preserve">sous réserve de </w:t>
      </w:r>
      <w:r w:rsidRPr="009A09FE">
        <w:rPr>
          <w:bCs/>
        </w:rPr>
        <w:t>l’autorisation du Procureur général du Roi. Il est également préoccupé par le fait que l’accès d’office au service de l’aide juridique soit limité aux seul</w:t>
      </w:r>
      <w:r w:rsidR="00647C8B">
        <w:rPr>
          <w:bCs/>
        </w:rPr>
        <w:t>e</w:t>
      </w:r>
      <w:r w:rsidRPr="009A09FE">
        <w:rPr>
          <w:bCs/>
        </w:rPr>
        <w:t xml:space="preserve">s </w:t>
      </w:r>
      <w:r w:rsidR="00647C8B">
        <w:rPr>
          <w:bCs/>
        </w:rPr>
        <w:t xml:space="preserve">personnes </w:t>
      </w:r>
      <w:r w:rsidRPr="009A09FE">
        <w:rPr>
          <w:bCs/>
        </w:rPr>
        <w:t>mineur</w:t>
      </w:r>
      <w:r w:rsidR="00647C8B">
        <w:rPr>
          <w:bCs/>
        </w:rPr>
        <w:t>e</w:t>
      </w:r>
      <w:r w:rsidRPr="009A09FE">
        <w:rPr>
          <w:bCs/>
        </w:rPr>
        <w:t xml:space="preserve">s et </w:t>
      </w:r>
      <w:r w:rsidR="00647C8B">
        <w:rPr>
          <w:bCs/>
        </w:rPr>
        <w:t xml:space="preserve">à celles </w:t>
      </w:r>
      <w:r w:rsidRPr="009A09FE">
        <w:rPr>
          <w:bCs/>
        </w:rPr>
        <w:t>encourant des peines supérieures à cinq années d’emprisonnement. Le Comité déplore le manque d’information relative à la mise en œuvre dans la pratique des autres garanties fondamentales</w:t>
      </w:r>
      <w:r w:rsidR="00647C8B">
        <w:rPr>
          <w:bCs/>
        </w:rPr>
        <w:t>,</w:t>
      </w:r>
      <w:r w:rsidRPr="009A09FE">
        <w:rPr>
          <w:bCs/>
        </w:rPr>
        <w:t xml:space="preserve"> telles que la visite d’un médecin indépendant et la notification à la famille (art. 2 et 11)</w:t>
      </w:r>
      <w:r w:rsidR="007344EE">
        <w:rPr>
          <w:bCs/>
        </w:rPr>
        <w:t>.</w:t>
      </w:r>
    </w:p>
    <w:p w:rsidR="009A09FE" w:rsidRDefault="00060CB5" w:rsidP="003F34EC">
      <w:pPr>
        <w:pStyle w:val="H23G"/>
        <w:jc w:val="both"/>
      </w:pPr>
      <w:r>
        <w:tab/>
      </w:r>
      <w:r>
        <w:tab/>
      </w:r>
      <w:r w:rsidR="009A09FE" w:rsidRPr="009A09FE">
        <w:t xml:space="preserve">L’État partie devrait veiller à ce que les projets de loi actuellement à l’étude garantissent à </w:t>
      </w:r>
      <w:r w:rsidR="001C23BA">
        <w:t>toute personne</w:t>
      </w:r>
      <w:r w:rsidR="009A09FE" w:rsidRPr="009A09FE">
        <w:t xml:space="preserve"> suspect</w:t>
      </w:r>
      <w:r w:rsidR="001C23BA">
        <w:t>ée</w:t>
      </w:r>
      <w:r w:rsidR="009A09FE" w:rsidRPr="009A09FE">
        <w:t xml:space="preserve"> </w:t>
      </w:r>
      <w:r w:rsidR="002A1B1D">
        <w:t xml:space="preserve">le droit </w:t>
      </w:r>
      <w:r w:rsidR="009A09FE" w:rsidRPr="009A09FE">
        <w:t xml:space="preserve">de bénéficier dans la pratique des garanties fondamentales prévues par la loi, qui incluent notamment </w:t>
      </w:r>
      <w:r w:rsidR="004A0626">
        <w:t xml:space="preserve">que l’intéressé ait </w:t>
      </w:r>
      <w:r w:rsidR="009A09FE" w:rsidRPr="009A09FE">
        <w:t xml:space="preserve"> accès</w:t>
      </w:r>
      <w:r w:rsidR="004E6DF0" w:rsidRPr="004E6DF0">
        <w:t xml:space="preserve"> </w:t>
      </w:r>
      <w:r w:rsidR="004E6DF0" w:rsidRPr="009A09FE">
        <w:t>à un avocat</w:t>
      </w:r>
      <w:r w:rsidR="009A09FE" w:rsidRPr="009A09FE">
        <w:t xml:space="preserve"> </w:t>
      </w:r>
      <w:r w:rsidR="00473D81" w:rsidRPr="009A09FE">
        <w:t xml:space="preserve">dès </w:t>
      </w:r>
      <w:r w:rsidR="003F34EC">
        <w:t xml:space="preserve">son </w:t>
      </w:r>
      <w:r w:rsidR="007E7D2B">
        <w:t>arrestation</w:t>
      </w:r>
      <w:r w:rsidR="00473D81">
        <w:t>,</w:t>
      </w:r>
      <w:r w:rsidR="00473D81" w:rsidRPr="009A09FE">
        <w:t xml:space="preserve"> </w:t>
      </w:r>
      <w:r w:rsidR="003F34EC">
        <w:t xml:space="preserve">qu’il </w:t>
      </w:r>
      <w:r w:rsidR="004E6DF0">
        <w:t>soit</w:t>
      </w:r>
      <w:r w:rsidR="009A09FE" w:rsidRPr="009A09FE">
        <w:t xml:space="preserve"> examiné par un médecin indépendant, </w:t>
      </w:r>
      <w:r w:rsidR="003F34EC">
        <w:t xml:space="preserve">qu’il </w:t>
      </w:r>
      <w:r w:rsidR="004E6DF0">
        <w:t>puisse</w:t>
      </w:r>
      <w:r w:rsidR="00E31656">
        <w:t xml:space="preserve"> </w:t>
      </w:r>
      <w:r w:rsidR="009A09FE" w:rsidRPr="00EE51DE">
        <w:t>contacter</w:t>
      </w:r>
      <w:r w:rsidR="009A09FE" w:rsidRPr="009A09FE">
        <w:t xml:space="preserve"> un proche</w:t>
      </w:r>
      <w:r w:rsidR="00054915">
        <w:t>,</w:t>
      </w:r>
      <w:r w:rsidR="009A09FE" w:rsidRPr="009A09FE">
        <w:t xml:space="preserve"> </w:t>
      </w:r>
      <w:r w:rsidR="003F34EC">
        <w:t xml:space="preserve">qu’il </w:t>
      </w:r>
      <w:r w:rsidR="004E6DF0">
        <w:t>soit</w:t>
      </w:r>
      <w:r w:rsidR="009A09FE" w:rsidRPr="009A09FE">
        <w:t xml:space="preserve"> informé de </w:t>
      </w:r>
      <w:r w:rsidR="00F5452E">
        <w:t>ses</w:t>
      </w:r>
      <w:r w:rsidR="00F5452E" w:rsidRPr="009A09FE">
        <w:t xml:space="preserve"> </w:t>
      </w:r>
      <w:r w:rsidR="009A09FE" w:rsidRPr="009A09FE">
        <w:t>droits</w:t>
      </w:r>
      <w:r w:rsidR="00054915">
        <w:t xml:space="preserve"> –</w:t>
      </w:r>
      <w:r w:rsidR="009A09FE" w:rsidRPr="009A09FE">
        <w:t xml:space="preserve"> </w:t>
      </w:r>
      <w:r w:rsidR="00054915">
        <w:t>comme</w:t>
      </w:r>
      <w:r w:rsidR="009A09FE" w:rsidRPr="009A09FE">
        <w:t xml:space="preserve"> des charges retenues contre </w:t>
      </w:r>
      <w:r w:rsidR="004E6DF0">
        <w:t>lui</w:t>
      </w:r>
      <w:r w:rsidR="001C23BA">
        <w:t xml:space="preserve"> </w:t>
      </w:r>
      <w:r w:rsidR="00054915">
        <w:t>–</w:t>
      </w:r>
      <w:r w:rsidR="009A09FE" w:rsidRPr="00956784">
        <w:t>,</w:t>
      </w:r>
      <w:r w:rsidR="009A09FE" w:rsidRPr="009A09FE">
        <w:t xml:space="preserve"> et </w:t>
      </w:r>
      <w:r w:rsidR="003F34EC">
        <w:t xml:space="preserve">qu’il soit </w:t>
      </w:r>
      <w:r w:rsidR="009A09FE" w:rsidRPr="009A09FE">
        <w:t>présenté immédiatement devant un juge. L’État partie devrait prendre des mesures pour permettre l’accès à un avocat dès le début de la garde à vue</w:t>
      </w:r>
      <w:r w:rsidR="000F6B7B">
        <w:t xml:space="preserve">, </w:t>
      </w:r>
      <w:r w:rsidR="009A09FE" w:rsidRPr="009A09FE">
        <w:t>sans aucune autorisation préalable</w:t>
      </w:r>
      <w:r w:rsidR="000F6B7B">
        <w:t>,</w:t>
      </w:r>
      <w:r w:rsidR="009A09FE" w:rsidRPr="009A09FE">
        <w:t xml:space="preserve"> et mettre en place un régime </w:t>
      </w:r>
      <w:r w:rsidR="00A046E7" w:rsidRPr="009A09FE">
        <w:t xml:space="preserve">effectif </w:t>
      </w:r>
      <w:r w:rsidR="009A09FE" w:rsidRPr="009A09FE">
        <w:t xml:space="preserve">d’aide juridictionnelle gratuite, en particulier </w:t>
      </w:r>
      <w:r w:rsidR="00F86C46">
        <w:t>pour l</w:t>
      </w:r>
      <w:r w:rsidR="009A09FE" w:rsidRPr="009A09FE">
        <w:t xml:space="preserve">es personnes </w:t>
      </w:r>
      <w:r w:rsidR="00A24DDF">
        <w:t xml:space="preserve">se trouvant </w:t>
      </w:r>
      <w:r w:rsidR="009A09FE" w:rsidRPr="009A09FE">
        <w:t xml:space="preserve">en situation de risque ou appartenant à des groupes en situation de vulnérabilité. </w:t>
      </w:r>
    </w:p>
    <w:p w:rsidR="009A09FE" w:rsidRPr="009A09FE" w:rsidRDefault="00243600" w:rsidP="00130B3A">
      <w:pPr>
        <w:pStyle w:val="H23G"/>
        <w:jc w:val="both"/>
      </w:pPr>
      <w:r>
        <w:rPr>
          <w:lang w:eastAsia="en-GB"/>
        </w:rPr>
        <w:tab/>
      </w:r>
      <w:r>
        <w:rPr>
          <w:lang w:eastAsia="en-GB"/>
        </w:rPr>
        <w:tab/>
      </w:r>
      <w:r w:rsidRPr="009A09FE">
        <w:t xml:space="preserve"> </w:t>
      </w:r>
      <w:r w:rsidR="009A09FE" w:rsidRPr="009A09FE">
        <w:t>Loi contre le terrorisme</w:t>
      </w:r>
    </w:p>
    <w:p w:rsidR="009A09FE" w:rsidRDefault="009A09FE" w:rsidP="00920315">
      <w:pPr>
        <w:pStyle w:val="SingleTxtG"/>
      </w:pPr>
      <w:r>
        <w:t>8.</w:t>
      </w:r>
      <w:r>
        <w:tab/>
        <w:t xml:space="preserve">Le Comité note avec préoccupation que la loi </w:t>
      </w:r>
      <w:r w:rsidR="00306834">
        <w:t>n</w:t>
      </w:r>
      <w:r w:rsidR="00306834" w:rsidRPr="00306834">
        <w:rPr>
          <w:vertAlign w:val="superscript"/>
        </w:rPr>
        <w:t>o</w:t>
      </w:r>
      <w:r w:rsidR="00306834">
        <w:t xml:space="preserve"> </w:t>
      </w:r>
      <w:r>
        <w:t xml:space="preserve">03-03 </w:t>
      </w:r>
      <w:r w:rsidR="00F5452E">
        <w:t xml:space="preserve">de 2003 </w:t>
      </w:r>
      <w:r>
        <w:t xml:space="preserve">contre le terrorisme ne contient pas de définition précise du terrorisme, </w:t>
      </w:r>
      <w:r w:rsidR="006755BB">
        <w:t>pourtant requise par</w:t>
      </w:r>
      <w:r>
        <w:t xml:space="preserve"> le principe de légalité des infractions, et inclut les délits d’apologie </w:t>
      </w:r>
      <w:r w:rsidR="006755BB">
        <w:t xml:space="preserve">du terrorisme </w:t>
      </w:r>
      <w:r>
        <w:t xml:space="preserve">et d’incitation au terrorisme, qui pour être constitués, ne doivent pas forcément être liés à un risque concret d’action violente. De plus, cette loi étend la période légale de </w:t>
      </w:r>
      <w:r w:rsidR="00495A6B">
        <w:t xml:space="preserve">la </w:t>
      </w:r>
      <w:r>
        <w:t xml:space="preserve">garde à vue </w:t>
      </w:r>
      <w:r w:rsidR="00495A6B">
        <w:t xml:space="preserve">à 12 jours </w:t>
      </w:r>
      <w:r>
        <w:t>dans les affaires de terrorisme e</w:t>
      </w:r>
      <w:r w:rsidR="00920315">
        <w:t>t</w:t>
      </w:r>
      <w:r>
        <w:t xml:space="preserve"> ne permet l’accès à un avocat qu’au bout de 6 jours, amplifiant ainsi le risque de torture </w:t>
      </w:r>
      <w:r w:rsidR="00495A6B">
        <w:t>d</w:t>
      </w:r>
      <w:r>
        <w:t>es suspects détenus</w:t>
      </w:r>
      <w:r w:rsidR="00495A6B">
        <w:t>. En effet</w:t>
      </w:r>
      <w:r>
        <w:t xml:space="preserve">, </w:t>
      </w:r>
      <w:r w:rsidR="00495A6B">
        <w:t xml:space="preserve">c’est précisément </w:t>
      </w:r>
      <w:r>
        <w:t xml:space="preserve">pendant </w:t>
      </w:r>
      <w:r w:rsidR="00495A6B">
        <w:t>l</w:t>
      </w:r>
      <w:r>
        <w:t xml:space="preserve">es périodes </w:t>
      </w:r>
      <w:r w:rsidR="00495A6B">
        <w:t>au cours d</w:t>
      </w:r>
      <w:r>
        <w:t xml:space="preserve">esquelles ils ne peuvent </w:t>
      </w:r>
      <w:r w:rsidR="00495A6B">
        <w:t xml:space="preserve">pas </w:t>
      </w:r>
      <w:r>
        <w:t>communiquer avec leur famille et leurs avocats qu</w:t>
      </w:r>
      <w:r w:rsidR="00495A6B">
        <w:t xml:space="preserve">e les suspects </w:t>
      </w:r>
      <w:r>
        <w:t xml:space="preserve">sont </w:t>
      </w:r>
      <w:r w:rsidRPr="002B5542">
        <w:t>le</w:t>
      </w:r>
      <w:r>
        <w:t xml:space="preserve"> plus susceptibles d’être torturés (art. 2 et 11)</w:t>
      </w:r>
      <w:r w:rsidR="007344EE">
        <w:t>.</w:t>
      </w:r>
    </w:p>
    <w:p w:rsidR="009A09FE" w:rsidRPr="005331D7" w:rsidRDefault="00060CB5" w:rsidP="00634D22">
      <w:pPr>
        <w:pStyle w:val="H23G"/>
        <w:jc w:val="both"/>
        <w:rPr>
          <w:b w:val="0"/>
        </w:rPr>
      </w:pPr>
      <w:r>
        <w:tab/>
      </w:r>
      <w:r>
        <w:tab/>
      </w:r>
      <w:r w:rsidR="007E7D2B">
        <w:t>L</w:t>
      </w:r>
      <w:r w:rsidR="007E7D2B" w:rsidRPr="005331D7">
        <w:t>’</w:t>
      </w:r>
      <w:r w:rsidR="00643C2B">
        <w:t>État</w:t>
      </w:r>
      <w:r w:rsidR="007E7D2B" w:rsidRPr="005331D7">
        <w:t xml:space="preserve"> partie devrait revoir sa loi antiterroriste </w:t>
      </w:r>
      <w:r w:rsidR="00306834">
        <w:t>n</w:t>
      </w:r>
      <w:r w:rsidR="00306834" w:rsidRPr="00306834">
        <w:rPr>
          <w:vertAlign w:val="superscript"/>
        </w:rPr>
        <w:t>o</w:t>
      </w:r>
      <w:r w:rsidR="00306834" w:rsidRPr="005331D7">
        <w:t xml:space="preserve"> </w:t>
      </w:r>
      <w:r w:rsidR="007E7D2B" w:rsidRPr="005331D7">
        <w:t xml:space="preserve">03-03 afin </w:t>
      </w:r>
      <w:r w:rsidR="00634D22">
        <w:t xml:space="preserve">de </w:t>
      </w:r>
      <w:r w:rsidR="007E7D2B" w:rsidRPr="005331D7">
        <w:t xml:space="preserve">mieux définir le terrorisme, de réduire la durée maximale de la garde à vue au strict minimum et </w:t>
      </w:r>
      <w:r w:rsidR="00634D22">
        <w:t xml:space="preserve">de </w:t>
      </w:r>
      <w:r w:rsidR="007E7D2B" w:rsidRPr="005331D7">
        <w:t xml:space="preserve">permettre l’accès à un avocat </w:t>
      </w:r>
      <w:r w:rsidR="00634D22">
        <w:t>dès le</w:t>
      </w:r>
      <w:r w:rsidR="007E7D2B" w:rsidRPr="005331D7">
        <w:t xml:space="preserve"> début de la détention.</w:t>
      </w:r>
      <w:r w:rsidR="007E7D2B">
        <w:t xml:space="preserve"> </w:t>
      </w:r>
      <w:r w:rsidR="009A09FE" w:rsidRPr="009A09FE">
        <w:t xml:space="preserve">Le Comité rappelle </w:t>
      </w:r>
      <w:r w:rsidR="007E7D2B">
        <w:t xml:space="preserve">qu’en vertu de la Convention contre la </w:t>
      </w:r>
      <w:r w:rsidR="00634D22">
        <w:t>t</w:t>
      </w:r>
      <w:r w:rsidR="007E7D2B">
        <w:t xml:space="preserve">orture, </w:t>
      </w:r>
      <w:r w:rsidR="009A09FE" w:rsidRPr="009A09FE">
        <w:t xml:space="preserve">aucune </w:t>
      </w:r>
      <w:r w:rsidR="009A09FE" w:rsidRPr="006C4349">
        <w:t xml:space="preserve">circonstance exceptionnelle quelle qu’elle soit ne </w:t>
      </w:r>
      <w:r w:rsidR="00634D22">
        <w:t>saurait</w:t>
      </w:r>
      <w:r w:rsidR="00634D22" w:rsidRPr="006C4349">
        <w:t xml:space="preserve"> </w:t>
      </w:r>
      <w:r w:rsidR="009A09FE" w:rsidRPr="006C4349">
        <w:t>être invoquée pour justifier la torture</w:t>
      </w:r>
      <w:r w:rsidR="007E7D2B" w:rsidRPr="00021BFF">
        <w:t>.</w:t>
      </w:r>
      <w:r w:rsidR="009A09FE" w:rsidRPr="00021BFF">
        <w:t xml:space="preserve"> </w:t>
      </w:r>
      <w:r w:rsidR="007E7D2B" w:rsidRPr="006C4349">
        <w:t>Il note également</w:t>
      </w:r>
      <w:r w:rsidR="009A09FE" w:rsidRPr="006C4349">
        <w:t xml:space="preserve"> que, conformément aux résolutions du Conseil de sécurité, notamment 1456 (2003)</w:t>
      </w:r>
      <w:r w:rsidR="00286838" w:rsidRPr="006C4349">
        <w:t xml:space="preserve"> et 1566 (2004)</w:t>
      </w:r>
      <w:r w:rsidR="009A09FE" w:rsidRPr="006C4349">
        <w:t xml:space="preserve">, et </w:t>
      </w:r>
      <w:r w:rsidR="00634D22">
        <w:t xml:space="preserve">à </w:t>
      </w:r>
      <w:r w:rsidR="009A09FE" w:rsidRPr="006C4349">
        <w:t xml:space="preserve">d’autres résolutions </w:t>
      </w:r>
      <w:r w:rsidR="00634D22">
        <w:t>pertinentes</w:t>
      </w:r>
      <w:r w:rsidR="009A09FE" w:rsidRPr="006C4349">
        <w:t>,</w:t>
      </w:r>
      <w:r w:rsidR="009A09FE" w:rsidRPr="009A09FE">
        <w:t xml:space="preserve"> les mesures de lutte contre le terrorisme doivent être appliquées dans le plein respect du droit international relatif aux droits de l’homme. </w:t>
      </w:r>
    </w:p>
    <w:p w:rsidR="009A09FE" w:rsidRPr="009A09FE" w:rsidRDefault="00060CB5" w:rsidP="00E44BBF">
      <w:pPr>
        <w:pStyle w:val="H23G"/>
        <w:jc w:val="both"/>
      </w:pPr>
      <w:r>
        <w:tab/>
      </w:r>
      <w:r>
        <w:tab/>
      </w:r>
      <w:r w:rsidR="009A09FE" w:rsidRPr="009A09FE">
        <w:t>Non-refoulement et risque de torture</w:t>
      </w:r>
    </w:p>
    <w:p w:rsidR="009A09FE" w:rsidRPr="009A09FE" w:rsidRDefault="009A09FE" w:rsidP="00CB6F6E">
      <w:pPr>
        <w:pStyle w:val="SingleTxtG"/>
      </w:pPr>
      <w:r w:rsidRPr="009A09FE">
        <w:t>9.</w:t>
      </w:r>
      <w:r w:rsidRPr="009A09FE">
        <w:tab/>
        <w:t>Le Comité est préoccupé par le fait que les procédures et</w:t>
      </w:r>
      <w:r w:rsidR="007169D9">
        <w:t xml:space="preserve"> les</w:t>
      </w:r>
      <w:r w:rsidRPr="009A09FE">
        <w:t xml:space="preserve"> pratiques actuelles du Maroc en matière d’extradition et de refoulement </w:t>
      </w:r>
      <w:r w:rsidR="007169D9">
        <w:t xml:space="preserve">peuvent </w:t>
      </w:r>
      <w:r w:rsidRPr="009A09FE">
        <w:t xml:space="preserve">exposer des personnes </w:t>
      </w:r>
      <w:r w:rsidR="007169D9">
        <w:t>à la torture</w:t>
      </w:r>
      <w:r w:rsidRPr="009A09FE">
        <w:t xml:space="preserve">. </w:t>
      </w:r>
      <w:r w:rsidR="002F4D65">
        <w:t>À</w:t>
      </w:r>
      <w:r w:rsidR="00266640">
        <w:t xml:space="preserve"> cet égard, l</w:t>
      </w:r>
      <w:r w:rsidRPr="009A09FE">
        <w:t xml:space="preserve">e Comité </w:t>
      </w:r>
      <w:r w:rsidR="00266640">
        <w:t>rappelle qu’il a reçu des plaintes individuelles contre l’</w:t>
      </w:r>
      <w:r w:rsidR="00643C2B">
        <w:t>État</w:t>
      </w:r>
      <w:r w:rsidR="00266640">
        <w:t xml:space="preserve"> partie</w:t>
      </w:r>
      <w:r w:rsidR="002F4D65">
        <w:t>,</w:t>
      </w:r>
      <w:r w:rsidR="00266640">
        <w:t xml:space="preserve"> en vertu de l’article 22 de la Convention</w:t>
      </w:r>
      <w:r w:rsidR="006E7A09">
        <w:t>,</w:t>
      </w:r>
      <w:r w:rsidR="00266640">
        <w:t xml:space="preserve"> </w:t>
      </w:r>
      <w:r w:rsidR="006E7A09">
        <w:t>portant sur</w:t>
      </w:r>
      <w:r w:rsidR="00E31656">
        <w:t xml:space="preserve"> </w:t>
      </w:r>
      <w:r w:rsidR="006E7A09">
        <w:t>de</w:t>
      </w:r>
      <w:r w:rsidR="00906D5D">
        <w:t>s demandes d’extradition</w:t>
      </w:r>
      <w:r w:rsidR="006E7A09">
        <w:t xml:space="preserve"> </w:t>
      </w:r>
      <w:r w:rsidR="00266640">
        <w:t xml:space="preserve">et </w:t>
      </w:r>
      <w:r w:rsidR="00DF6F48">
        <w:t>qu’il</w:t>
      </w:r>
      <w:r w:rsidR="00266640">
        <w:t xml:space="preserve"> est préoccupé par les décisions </w:t>
      </w:r>
      <w:r w:rsidR="00DF6F48">
        <w:t xml:space="preserve">et </w:t>
      </w:r>
      <w:r w:rsidR="002F4D65">
        <w:t xml:space="preserve">les </w:t>
      </w:r>
      <w:r w:rsidR="00DF6F48">
        <w:t xml:space="preserve">actions </w:t>
      </w:r>
      <w:r w:rsidR="00266640">
        <w:t>prises par l’</w:t>
      </w:r>
      <w:r w:rsidR="00643C2B">
        <w:t>État</w:t>
      </w:r>
      <w:r w:rsidR="00266640">
        <w:t xml:space="preserve"> partie dans le cadre de ces affaires. En effet, l</w:t>
      </w:r>
      <w:r w:rsidR="00266640" w:rsidRPr="009A09FE">
        <w:t>e Comité s’inquiète de la décision actuelle de</w:t>
      </w:r>
      <w:r w:rsidR="00266640">
        <w:t xml:space="preserve"> l’</w:t>
      </w:r>
      <w:r w:rsidR="00643C2B">
        <w:t>État</w:t>
      </w:r>
      <w:r w:rsidR="00266640">
        <w:t xml:space="preserve"> partie de</w:t>
      </w:r>
      <w:r w:rsidR="00266640" w:rsidRPr="009A09FE">
        <w:t xml:space="preserve"> seulement «suspendre» l’extradition de M. Ktiti, alors qu</w:t>
      </w:r>
      <w:r w:rsidR="00570C73">
        <w:t xml:space="preserve">’il </w:t>
      </w:r>
      <w:r w:rsidR="002F4D65">
        <w:t>était arrivé à l</w:t>
      </w:r>
      <w:r w:rsidR="00266640" w:rsidRPr="009A09FE">
        <w:t xml:space="preserve">a </w:t>
      </w:r>
      <w:r w:rsidR="00570C73">
        <w:t>conclusion</w:t>
      </w:r>
      <w:r w:rsidR="00266640" w:rsidRPr="009A09FE">
        <w:t xml:space="preserve"> qu’une telle extradition constituerait aussi une violation de l’article 3 de la Convention, et qu</w:t>
      </w:r>
      <w:r w:rsidR="002F4D65">
        <w:t>’il avait dûment transmis</w:t>
      </w:r>
      <w:r w:rsidR="00266640" w:rsidRPr="009A09FE">
        <w:t xml:space="preserve"> </w:t>
      </w:r>
      <w:r w:rsidR="002F4D65">
        <w:t>sa</w:t>
      </w:r>
      <w:r w:rsidR="00266640" w:rsidRPr="009A09FE">
        <w:t xml:space="preserve"> décision finale à l’</w:t>
      </w:r>
      <w:r w:rsidR="00643C2B">
        <w:t>État</w:t>
      </w:r>
      <w:r w:rsidR="00266640" w:rsidRPr="009A09FE">
        <w:t xml:space="preserve"> partie.</w:t>
      </w:r>
      <w:r w:rsidR="00266640" w:rsidRPr="009A09FE">
        <w:rPr>
          <w:sz w:val="18"/>
          <w:vertAlign w:val="superscript"/>
        </w:rPr>
        <w:footnoteReference w:id="3"/>
      </w:r>
      <w:r w:rsidR="00266640" w:rsidRPr="009A09FE">
        <w:t xml:space="preserve"> </w:t>
      </w:r>
      <w:r w:rsidR="00266640">
        <w:t xml:space="preserve">De plus, </w:t>
      </w:r>
      <w:r w:rsidR="00CB6F6E">
        <w:t>il</w:t>
      </w:r>
      <w:r w:rsidR="00266640">
        <w:t xml:space="preserve"> </w:t>
      </w:r>
      <w:r w:rsidRPr="009A09FE">
        <w:t xml:space="preserve">exprime sa vive préoccupation </w:t>
      </w:r>
      <w:r w:rsidR="006E7A09">
        <w:t>devant</w:t>
      </w:r>
      <w:r w:rsidRPr="009A09FE">
        <w:t xml:space="preserve"> l’extradition de M. Alexey Kalinichenko vers son pays d’origine</w:t>
      </w:r>
      <w:r w:rsidR="00AC3391">
        <w:t>,</w:t>
      </w:r>
      <w:r w:rsidRPr="009A09FE">
        <w:t xml:space="preserve"> </w:t>
      </w:r>
      <w:r w:rsidR="002F4D65">
        <w:t>intervenue</w:t>
      </w:r>
      <w:r w:rsidRPr="009A09FE">
        <w:t xml:space="preserve"> </w:t>
      </w:r>
      <w:r w:rsidR="006E7A09">
        <w:t xml:space="preserve">alors que le </w:t>
      </w:r>
      <w:r w:rsidRPr="009A09FE">
        <w:t xml:space="preserve">Comité </w:t>
      </w:r>
      <w:r w:rsidR="006E7A09">
        <w:t xml:space="preserve">avait décidé de </w:t>
      </w:r>
      <w:r w:rsidRPr="009A09FE">
        <w:t>demand</w:t>
      </w:r>
      <w:r w:rsidR="006E7A09">
        <w:t xml:space="preserve">er </w:t>
      </w:r>
      <w:r w:rsidRPr="009A09FE">
        <w:t xml:space="preserve">la suspension temporaire de cette extradition </w:t>
      </w:r>
      <w:r w:rsidR="00266640">
        <w:t xml:space="preserve">jusqu’à </w:t>
      </w:r>
      <w:r w:rsidR="009D3F8A">
        <w:t>l’</w:t>
      </w:r>
      <w:r w:rsidR="006E7A09">
        <w:t>arrêt</w:t>
      </w:r>
      <w:r w:rsidR="009D3F8A">
        <w:t xml:space="preserve"> de</w:t>
      </w:r>
      <w:r w:rsidR="006E7A09">
        <w:t xml:space="preserve"> </w:t>
      </w:r>
      <w:r w:rsidR="002F4D65">
        <w:t>sa</w:t>
      </w:r>
      <w:r w:rsidR="00266640">
        <w:t xml:space="preserve"> décision finale</w:t>
      </w:r>
      <w:r w:rsidRPr="009A09FE">
        <w:t xml:space="preserve">, d’autant </w:t>
      </w:r>
      <w:r w:rsidRPr="00EE6AD0">
        <w:t>plus</w:t>
      </w:r>
      <w:r w:rsidRPr="009A09FE">
        <w:t xml:space="preserve"> que cette extradition s’</w:t>
      </w:r>
      <w:r w:rsidR="00CB6F6E">
        <w:t>était</w:t>
      </w:r>
      <w:r w:rsidR="00E31656">
        <w:t xml:space="preserve"> </w:t>
      </w:r>
      <w:r w:rsidRPr="009A09FE">
        <w:t xml:space="preserve">faite sur la seule base des assurances diplomatiques fournies par le pays d’origine </w:t>
      </w:r>
      <w:r w:rsidRPr="006C4349">
        <w:t>de M. Kalinichenko</w:t>
      </w:r>
      <w:r w:rsidRPr="009A09FE">
        <w:t xml:space="preserve"> (art.</w:t>
      </w:r>
      <w:r w:rsidR="00906D5D">
        <w:t xml:space="preserve"> </w:t>
      </w:r>
      <w:r w:rsidRPr="009A09FE">
        <w:t>3)</w:t>
      </w:r>
      <w:r w:rsidR="00130B3A">
        <w:t>.</w:t>
      </w:r>
    </w:p>
    <w:p w:rsidR="009A09FE" w:rsidRPr="009A09FE" w:rsidRDefault="00060CB5" w:rsidP="00E44BBF">
      <w:pPr>
        <w:pStyle w:val="H23G"/>
        <w:jc w:val="both"/>
      </w:pPr>
      <w:r>
        <w:tab/>
      </w:r>
      <w:r>
        <w:tab/>
      </w:r>
    </w:p>
    <w:p w:rsidR="00266640" w:rsidRDefault="00060CB5" w:rsidP="00956784">
      <w:pPr>
        <w:pStyle w:val="H23G"/>
        <w:jc w:val="both"/>
      </w:pPr>
      <w:r>
        <w:tab/>
      </w:r>
      <w:r>
        <w:tab/>
      </w:r>
      <w:r w:rsidR="009A09FE" w:rsidRPr="009A09FE">
        <w:t xml:space="preserve">L’État partie ne devrait en aucune circonstance expulser, renvoyer ou extrader une personne vers un État où il y a des motifs sérieux de croire qu’elle risque d’être soumise à la torture. Le Comité rappelle sa position selon laquelle les États parties ne peuvent en aucun cas recourir aux assurances diplomatiques comme garanties contre la torture ou les mauvais traitements lorsqu’il y a des motifs sérieux de croire qu’une personne risque d’être soumise à la torture si elle retourne dans son pays. Pour déterminer si les obligations qui lui incombent en vertu de l’article 3 de la Convention s’appliquent, l’État partie devrait examiner minutieusement, sur le fond, chaque cas particulier, y compris la situation générale </w:t>
      </w:r>
      <w:r w:rsidR="009A09FE" w:rsidRPr="00956784">
        <w:t xml:space="preserve">en </w:t>
      </w:r>
      <w:r w:rsidR="00361B77" w:rsidRPr="00956784">
        <w:t>matière de</w:t>
      </w:r>
      <w:r w:rsidR="00361B77">
        <w:t xml:space="preserve"> </w:t>
      </w:r>
      <w:r w:rsidR="009A09FE" w:rsidRPr="009A09FE">
        <w:t>torture</w:t>
      </w:r>
      <w:r w:rsidR="00956784" w:rsidRPr="00956784">
        <w:t xml:space="preserve"> </w:t>
      </w:r>
      <w:r w:rsidR="00956784" w:rsidRPr="009A09FE">
        <w:t xml:space="preserve">dans le pays </w:t>
      </w:r>
      <w:r w:rsidR="00956784" w:rsidRPr="00956784">
        <w:t>de retour</w:t>
      </w:r>
      <w:r w:rsidR="00E30A97">
        <w:t>. En outre</w:t>
      </w:r>
      <w:r w:rsidR="009A09FE" w:rsidRPr="009A09FE">
        <w:t xml:space="preserve">, </w:t>
      </w:r>
      <w:r w:rsidR="00E30A97">
        <w:t xml:space="preserve">il devrait </w:t>
      </w:r>
      <w:r w:rsidR="009A09FE" w:rsidRPr="009A09FE">
        <w:t>établir et mettre en œuvre des procédures bien définies pour obtenir ces assurances diplomatiques</w:t>
      </w:r>
      <w:r w:rsidR="003315AD">
        <w:t>,</w:t>
      </w:r>
      <w:r w:rsidR="009A09FE" w:rsidRPr="009A09FE">
        <w:t xml:space="preserve"> des mécanismes judiciaires appropriés de contrôle et des dispositifs efficaces de suivi en cas de refoulement.</w:t>
      </w:r>
      <w:r w:rsidR="00266640" w:rsidRPr="00266640">
        <w:t xml:space="preserve"> </w:t>
      </w:r>
    </w:p>
    <w:p w:rsidR="009A09FE" w:rsidRPr="009A09FE" w:rsidRDefault="00266640" w:rsidP="00C818AB">
      <w:pPr>
        <w:pStyle w:val="H23G"/>
        <w:ind w:firstLine="0"/>
        <w:jc w:val="both"/>
      </w:pPr>
      <w:r w:rsidRPr="009A09FE">
        <w:t xml:space="preserve">Le Maroc devrait respecter ses obligations internationales et se conformer aux décisions finales et </w:t>
      </w:r>
      <w:r w:rsidR="00C818AB">
        <w:t>provisoires</w:t>
      </w:r>
      <w:r w:rsidRPr="009A09FE">
        <w:t xml:space="preserve"> du Comité dans les cas individuels qui lui sont soumis en vertu de l’article 22 de la Convention. Dans le cas de M. Ktiti, le Maroc devrait décider d’annuler</w:t>
      </w:r>
      <w:r w:rsidR="00C818AB" w:rsidRPr="00C818AB">
        <w:t xml:space="preserve"> </w:t>
      </w:r>
      <w:r w:rsidR="00C818AB" w:rsidRPr="009A09FE">
        <w:t>son extradition vers son pays d’origine</w:t>
      </w:r>
      <w:r w:rsidRPr="009A09FE">
        <w:t>, de manière définitive, sous peine de violer l’article 3 de la Convention.</w:t>
      </w:r>
    </w:p>
    <w:p w:rsidR="009A09FE" w:rsidRPr="009A09FE" w:rsidRDefault="00060CB5" w:rsidP="00E44BBF">
      <w:pPr>
        <w:pStyle w:val="H23G"/>
        <w:jc w:val="both"/>
      </w:pPr>
      <w:r>
        <w:tab/>
      </w:r>
      <w:r>
        <w:tab/>
      </w:r>
      <w:r w:rsidR="009A09FE" w:rsidRPr="009A09FE">
        <w:t xml:space="preserve">Recours à la torture </w:t>
      </w:r>
      <w:r w:rsidR="00FA1204">
        <w:t>dans les affaires de sécurité</w:t>
      </w:r>
    </w:p>
    <w:p w:rsidR="009A09FE" w:rsidRPr="00E8087B" w:rsidRDefault="009A09FE" w:rsidP="008654B8">
      <w:pPr>
        <w:pStyle w:val="SingleTxtG"/>
        <w:rPr>
          <w:lang w:eastAsia="en-GB"/>
        </w:rPr>
      </w:pPr>
      <w:r w:rsidRPr="008654B8">
        <w:rPr>
          <w:lang w:eastAsia="en-GB"/>
        </w:rPr>
        <w:t>10.</w:t>
      </w:r>
      <w:r w:rsidRPr="008654B8">
        <w:rPr>
          <w:lang w:eastAsia="en-GB"/>
        </w:rPr>
        <w:tab/>
        <w:t xml:space="preserve">Le Comité est préoccupé par les </w:t>
      </w:r>
      <w:r w:rsidR="00AC3391" w:rsidRPr="008654B8">
        <w:rPr>
          <w:lang w:eastAsia="en-GB"/>
        </w:rPr>
        <w:t xml:space="preserve">nombreuses </w:t>
      </w:r>
      <w:r w:rsidRPr="008654B8">
        <w:rPr>
          <w:lang w:eastAsia="en-GB"/>
        </w:rPr>
        <w:t>allégations</w:t>
      </w:r>
      <w:r w:rsidR="004A5486" w:rsidRPr="008654B8">
        <w:rPr>
          <w:lang w:eastAsia="en-GB"/>
        </w:rPr>
        <w:t xml:space="preserve"> d</w:t>
      </w:r>
      <w:r w:rsidRPr="008654B8">
        <w:rPr>
          <w:lang w:eastAsia="en-GB"/>
        </w:rPr>
        <w:t xml:space="preserve">e torture et </w:t>
      </w:r>
      <w:r w:rsidR="00D34887" w:rsidRPr="008654B8">
        <w:rPr>
          <w:lang w:eastAsia="en-GB"/>
        </w:rPr>
        <w:t>de</w:t>
      </w:r>
      <w:r w:rsidR="001123F6" w:rsidRPr="008654B8">
        <w:rPr>
          <w:lang w:eastAsia="en-GB"/>
        </w:rPr>
        <w:t xml:space="preserve"> </w:t>
      </w:r>
      <w:r w:rsidRPr="008654B8">
        <w:rPr>
          <w:lang w:eastAsia="en-GB"/>
        </w:rPr>
        <w:t xml:space="preserve">mauvais traitements </w:t>
      </w:r>
      <w:r w:rsidR="00D34887" w:rsidRPr="008654B8">
        <w:rPr>
          <w:lang w:eastAsia="en-GB"/>
        </w:rPr>
        <w:t xml:space="preserve">commis </w:t>
      </w:r>
      <w:r w:rsidRPr="008654B8">
        <w:rPr>
          <w:lang w:eastAsia="en-GB"/>
        </w:rPr>
        <w:t xml:space="preserve">par les officiers de police, les agents pénitentiaires et plus particulièrement les agents de la Direction de </w:t>
      </w:r>
      <w:r w:rsidR="001123F6" w:rsidRPr="008654B8">
        <w:rPr>
          <w:lang w:eastAsia="en-GB"/>
        </w:rPr>
        <w:t>s</w:t>
      </w:r>
      <w:r w:rsidRPr="008654B8">
        <w:rPr>
          <w:lang w:eastAsia="en-GB"/>
        </w:rPr>
        <w:t xml:space="preserve">urveillance du </w:t>
      </w:r>
      <w:r w:rsidR="001123F6" w:rsidRPr="008654B8">
        <w:rPr>
          <w:lang w:eastAsia="en-GB"/>
        </w:rPr>
        <w:t>t</w:t>
      </w:r>
      <w:r w:rsidRPr="008654B8">
        <w:rPr>
          <w:lang w:eastAsia="en-GB"/>
        </w:rPr>
        <w:t>erritoire (DST)</w:t>
      </w:r>
      <w:r w:rsidR="00776C6F" w:rsidRPr="008654B8">
        <w:rPr>
          <w:lang w:eastAsia="en-GB"/>
        </w:rPr>
        <w:t xml:space="preserve"> –</w:t>
      </w:r>
      <w:r w:rsidRPr="008654B8">
        <w:rPr>
          <w:lang w:eastAsia="en-GB"/>
        </w:rPr>
        <w:t xml:space="preserve"> désormais reconnus comme officiers de police judiciaire</w:t>
      </w:r>
      <w:r w:rsidR="00776C6F" w:rsidRPr="008654B8">
        <w:rPr>
          <w:lang w:eastAsia="en-GB"/>
        </w:rPr>
        <w:t xml:space="preserve"> –</w:t>
      </w:r>
      <w:r w:rsidRPr="008654B8">
        <w:rPr>
          <w:lang w:eastAsia="en-GB"/>
        </w:rPr>
        <w:t xml:space="preserve"> </w:t>
      </w:r>
      <w:r w:rsidR="008654B8" w:rsidRPr="008654B8">
        <w:rPr>
          <w:lang w:eastAsia="en-GB"/>
        </w:rPr>
        <w:t>lorsque</w:t>
      </w:r>
      <w:r w:rsidR="00361B77" w:rsidRPr="008654B8">
        <w:rPr>
          <w:lang w:eastAsia="en-GB"/>
        </w:rPr>
        <w:t xml:space="preserve"> les personnes</w:t>
      </w:r>
      <w:r w:rsidR="008654B8" w:rsidRPr="008654B8">
        <w:rPr>
          <w:lang w:eastAsia="en-GB"/>
        </w:rPr>
        <w:t xml:space="preserve"> sont</w:t>
      </w:r>
      <w:r w:rsidR="00361B77" w:rsidRPr="008654B8">
        <w:rPr>
          <w:lang w:eastAsia="en-GB"/>
        </w:rPr>
        <w:t xml:space="preserve"> privées</w:t>
      </w:r>
      <w:r w:rsidR="00E31656" w:rsidRPr="008654B8">
        <w:rPr>
          <w:lang w:eastAsia="en-GB"/>
        </w:rPr>
        <w:t xml:space="preserve"> </w:t>
      </w:r>
      <w:r w:rsidR="00361B77" w:rsidRPr="008654B8">
        <w:rPr>
          <w:lang w:eastAsia="en-GB"/>
        </w:rPr>
        <w:t>de l’exercice des garanties juridiques fondamentales</w:t>
      </w:r>
      <w:r w:rsidR="00EE545C" w:rsidRPr="008654B8">
        <w:rPr>
          <w:lang w:eastAsia="en-GB"/>
        </w:rPr>
        <w:t xml:space="preserve"> comme </w:t>
      </w:r>
      <w:r w:rsidR="00361B77" w:rsidRPr="008654B8">
        <w:rPr>
          <w:lang w:eastAsia="en-GB"/>
        </w:rPr>
        <w:t xml:space="preserve">l’accès à un avocat, </w:t>
      </w:r>
      <w:r w:rsidRPr="008654B8">
        <w:rPr>
          <w:lang w:eastAsia="en-GB"/>
        </w:rPr>
        <w:t xml:space="preserve">en particulier </w:t>
      </w:r>
      <w:r w:rsidR="008654B8" w:rsidRPr="008654B8">
        <w:rPr>
          <w:lang w:eastAsia="en-GB"/>
        </w:rPr>
        <w:t>celles</w:t>
      </w:r>
      <w:r w:rsidRPr="008654B8">
        <w:rPr>
          <w:lang w:eastAsia="en-GB"/>
        </w:rPr>
        <w:t xml:space="preserve"> suspecté</w:t>
      </w:r>
      <w:r w:rsidR="008654B8" w:rsidRPr="008654B8">
        <w:rPr>
          <w:lang w:eastAsia="en-GB"/>
        </w:rPr>
        <w:t>e</w:t>
      </w:r>
      <w:r w:rsidRPr="008654B8">
        <w:rPr>
          <w:lang w:eastAsia="en-GB"/>
        </w:rPr>
        <w:t xml:space="preserve">s d’appartenir à des réseaux terroristes ou d’être </w:t>
      </w:r>
      <w:r w:rsidR="008654B8" w:rsidRPr="008654B8">
        <w:rPr>
          <w:lang w:eastAsia="en-GB"/>
        </w:rPr>
        <w:t xml:space="preserve">des </w:t>
      </w:r>
      <w:r w:rsidRPr="008654B8">
        <w:rPr>
          <w:lang w:eastAsia="en-GB"/>
        </w:rPr>
        <w:t>partisans de l’indépendance du Sahara occidental</w:t>
      </w:r>
      <w:r w:rsidR="00AC3391" w:rsidRPr="008654B8">
        <w:rPr>
          <w:lang w:eastAsia="en-GB"/>
        </w:rPr>
        <w:t xml:space="preserve"> </w:t>
      </w:r>
      <w:r w:rsidR="00F20EE1" w:rsidRPr="008654B8">
        <w:rPr>
          <w:lang w:eastAsia="en-GB"/>
        </w:rPr>
        <w:t>ou</w:t>
      </w:r>
      <w:r w:rsidRPr="008654B8">
        <w:rPr>
          <w:lang w:eastAsia="en-GB"/>
        </w:rPr>
        <w:t xml:space="preserve"> durant les interrogatoires </w:t>
      </w:r>
      <w:r w:rsidR="001123F6" w:rsidRPr="008654B8">
        <w:rPr>
          <w:lang w:eastAsia="en-GB"/>
        </w:rPr>
        <w:t xml:space="preserve">dans le but </w:t>
      </w:r>
      <w:r w:rsidRPr="008654B8">
        <w:rPr>
          <w:lang w:eastAsia="en-GB"/>
        </w:rPr>
        <w:t xml:space="preserve">de soutirer des aveux aux </w:t>
      </w:r>
      <w:r w:rsidR="00EE545C" w:rsidRPr="008654B8">
        <w:rPr>
          <w:lang w:eastAsia="en-GB"/>
        </w:rPr>
        <w:t xml:space="preserve">personnes </w:t>
      </w:r>
      <w:r w:rsidRPr="008654B8">
        <w:rPr>
          <w:lang w:eastAsia="en-GB"/>
        </w:rPr>
        <w:t>suspect</w:t>
      </w:r>
      <w:r w:rsidR="00EE545C" w:rsidRPr="008654B8">
        <w:rPr>
          <w:lang w:eastAsia="en-GB"/>
        </w:rPr>
        <w:t>ée</w:t>
      </w:r>
      <w:r w:rsidRPr="008654B8">
        <w:rPr>
          <w:lang w:eastAsia="en-GB"/>
        </w:rPr>
        <w:t>s de terrorisme</w:t>
      </w:r>
      <w:r w:rsidR="009D4EC4" w:rsidRPr="008654B8">
        <w:rPr>
          <w:lang w:eastAsia="en-GB"/>
        </w:rPr>
        <w:t xml:space="preserve">. </w:t>
      </w:r>
      <w:r w:rsidRPr="008654B8">
        <w:rPr>
          <w:lang w:eastAsia="en-GB"/>
        </w:rPr>
        <w:t>(art. 2, 4, 11 et 15)</w:t>
      </w:r>
      <w:r w:rsidR="00130B3A" w:rsidRPr="008654B8">
        <w:rPr>
          <w:lang w:eastAsia="en-GB"/>
        </w:rPr>
        <w:t>.</w:t>
      </w:r>
    </w:p>
    <w:p w:rsidR="009A09FE" w:rsidRPr="009A09FE" w:rsidRDefault="00060CB5" w:rsidP="00062C6A">
      <w:pPr>
        <w:pStyle w:val="H23G"/>
        <w:jc w:val="both"/>
        <w:rPr>
          <w:lang w:eastAsia="en-GB"/>
        </w:rPr>
      </w:pPr>
      <w:r>
        <w:rPr>
          <w:lang w:eastAsia="en-GB"/>
        </w:rPr>
        <w:tab/>
      </w:r>
      <w:r>
        <w:rPr>
          <w:lang w:eastAsia="en-GB"/>
        </w:rPr>
        <w:tab/>
      </w:r>
      <w:r w:rsidR="009A09FE" w:rsidRPr="009A09FE">
        <w:rPr>
          <w:lang w:eastAsia="en-GB"/>
        </w:rPr>
        <w:t>L’</w:t>
      </w:r>
      <w:r w:rsidR="00643C2B">
        <w:rPr>
          <w:lang w:eastAsia="en-GB"/>
        </w:rPr>
        <w:t>État</w:t>
      </w:r>
      <w:r w:rsidR="009A09FE" w:rsidRPr="009A09FE">
        <w:rPr>
          <w:lang w:eastAsia="en-GB"/>
        </w:rPr>
        <w:t xml:space="preserve"> partie devrait prendre immédiatement des mesures concrètes pour enquêter sur les actes de torture, </w:t>
      </w:r>
      <w:r w:rsidR="00C04376">
        <w:rPr>
          <w:lang w:eastAsia="en-GB"/>
        </w:rPr>
        <w:t xml:space="preserve">et </w:t>
      </w:r>
      <w:r w:rsidR="009A09FE" w:rsidRPr="009A09FE">
        <w:rPr>
          <w:lang w:eastAsia="en-GB"/>
        </w:rPr>
        <w:t>poursuivre et punir leurs auteurs</w:t>
      </w:r>
      <w:r w:rsidR="00062C6A">
        <w:rPr>
          <w:lang w:eastAsia="en-GB"/>
        </w:rPr>
        <w:t xml:space="preserve">. Il devrait </w:t>
      </w:r>
      <w:r w:rsidR="009A09FE" w:rsidRPr="009A09FE">
        <w:rPr>
          <w:lang w:eastAsia="en-GB"/>
        </w:rPr>
        <w:t>garantir que les membres des forces de l’ordre n’utilisent pas la torture, notamment en réaffirmant clairement l’interdiction absolue de la torture</w:t>
      </w:r>
      <w:r w:rsidR="002E4D01">
        <w:rPr>
          <w:lang w:eastAsia="en-GB"/>
        </w:rPr>
        <w:t>,</w:t>
      </w:r>
      <w:r w:rsidR="009A09FE" w:rsidRPr="009A09FE">
        <w:rPr>
          <w:lang w:eastAsia="en-GB"/>
        </w:rPr>
        <w:t xml:space="preserve"> en condamnant publiquement </w:t>
      </w:r>
      <w:r w:rsidR="002E4D01">
        <w:rPr>
          <w:lang w:eastAsia="en-GB"/>
        </w:rPr>
        <w:t>l</w:t>
      </w:r>
      <w:r w:rsidR="009A09FE" w:rsidRPr="009A09FE">
        <w:rPr>
          <w:lang w:eastAsia="en-GB"/>
        </w:rPr>
        <w:t>a pratique</w:t>
      </w:r>
      <w:r w:rsidR="002E4D01">
        <w:rPr>
          <w:lang w:eastAsia="en-GB"/>
        </w:rPr>
        <w:t xml:space="preserve"> de la torture</w:t>
      </w:r>
      <w:r w:rsidR="009A09FE" w:rsidRPr="009A09FE">
        <w:rPr>
          <w:lang w:eastAsia="en-GB"/>
        </w:rPr>
        <w:t xml:space="preserve">, en particulier par la police, le personnel pénitentiaire et les membres de la DST, et en faisant clairement savoir que quiconque commet de tels actes, </w:t>
      </w:r>
      <w:r w:rsidR="002E4D01">
        <w:rPr>
          <w:lang w:eastAsia="en-GB"/>
        </w:rPr>
        <w:t>s’</w:t>
      </w:r>
      <w:r w:rsidR="009A09FE" w:rsidRPr="009A09FE">
        <w:rPr>
          <w:lang w:eastAsia="en-GB"/>
        </w:rPr>
        <w:t xml:space="preserve">en </w:t>
      </w:r>
      <w:r w:rsidR="002E4D01">
        <w:rPr>
          <w:lang w:eastAsia="en-GB"/>
        </w:rPr>
        <w:t>rend</w:t>
      </w:r>
      <w:r w:rsidR="00E31656">
        <w:rPr>
          <w:lang w:eastAsia="en-GB"/>
        </w:rPr>
        <w:t xml:space="preserve"> </w:t>
      </w:r>
      <w:r w:rsidR="009A09FE" w:rsidRPr="009A09FE">
        <w:rPr>
          <w:lang w:eastAsia="en-GB"/>
        </w:rPr>
        <w:t xml:space="preserve">complice ou y participe en sera tenu personnellement responsable devant la loi, fera l’objet de poursuites pénales </w:t>
      </w:r>
      <w:r w:rsidR="00D405D6">
        <w:rPr>
          <w:lang w:eastAsia="en-GB"/>
        </w:rPr>
        <w:t xml:space="preserve">et </w:t>
      </w:r>
      <w:r w:rsidR="009A09FE" w:rsidRPr="009A09FE">
        <w:rPr>
          <w:lang w:eastAsia="en-GB"/>
        </w:rPr>
        <w:t>se verra infliger des peines appropriées.</w:t>
      </w:r>
    </w:p>
    <w:p w:rsidR="009A09FE" w:rsidRPr="009A09FE" w:rsidRDefault="00060CB5" w:rsidP="00E44BBF">
      <w:pPr>
        <w:pStyle w:val="H23G"/>
        <w:jc w:val="both"/>
      </w:pPr>
      <w:r>
        <w:tab/>
      </w:r>
      <w:r>
        <w:tab/>
      </w:r>
      <w:r w:rsidR="009A09FE" w:rsidRPr="009A09FE">
        <w:t xml:space="preserve">«Transfèrements secrets» </w:t>
      </w:r>
    </w:p>
    <w:p w:rsidR="009A09FE" w:rsidRPr="006F4630" w:rsidRDefault="009A09FE" w:rsidP="00DD756B">
      <w:pPr>
        <w:pStyle w:val="SingleTxtG"/>
      </w:pPr>
      <w:r>
        <w:t>11</w:t>
      </w:r>
      <w:r w:rsidRPr="00E74D24">
        <w:t>.</w:t>
      </w:r>
      <w:r w:rsidRPr="00E74D24">
        <w:tab/>
        <w:t xml:space="preserve">Le Comité prend note des </w:t>
      </w:r>
      <w:r w:rsidR="003612C3">
        <w:t>déclarations</w:t>
      </w:r>
      <w:r w:rsidR="003612C3" w:rsidRPr="00E74D24">
        <w:t xml:space="preserve"> </w:t>
      </w:r>
      <w:r w:rsidRPr="00E74D24">
        <w:t>de l’</w:t>
      </w:r>
      <w:r w:rsidR="00643C2B">
        <w:t>État</w:t>
      </w:r>
      <w:r w:rsidRPr="00E74D24">
        <w:t xml:space="preserve"> partie </w:t>
      </w:r>
      <w:r w:rsidR="00763C65">
        <w:t xml:space="preserve">selon lesquelles </w:t>
      </w:r>
      <w:r w:rsidRPr="001A2C05">
        <w:t>il n</w:t>
      </w:r>
      <w:r w:rsidR="001A2C05" w:rsidRPr="001A2C05">
        <w:t xml:space="preserve">’était </w:t>
      </w:r>
      <w:r w:rsidRPr="00E74D24">
        <w:t xml:space="preserve">pas </w:t>
      </w:r>
      <w:r>
        <w:t xml:space="preserve">impliqué dans les affaires de </w:t>
      </w:r>
      <w:r w:rsidRPr="00185A6C">
        <w:t xml:space="preserve">«transfèrements secrets» menées dans le contexte de la lutte internationale contre le terrorisme. Néanmoins, le Comité reste préoccupé par les allégations selon lesquelles le Maroc aurait servi de point </w:t>
      </w:r>
      <w:r w:rsidR="00150313">
        <w:t>de départ</w:t>
      </w:r>
      <w:r w:rsidRPr="00185A6C">
        <w:t xml:space="preserve">, de transit et de destination de «transfèrements secrets» opérés en dehors de tout cadre légal, notamment dans les cas de </w:t>
      </w:r>
      <w:r w:rsidRPr="00C15A65">
        <w:t>M</w:t>
      </w:r>
      <w:r w:rsidR="00150313" w:rsidRPr="00C15A65">
        <w:t>M</w:t>
      </w:r>
      <w:r w:rsidRPr="00185A6C">
        <w:t>. Mohamed Binyam, Ramiz Belshib et Mohamed Gatit. Il note que les informations lacunaires fournies par l’</w:t>
      </w:r>
      <w:r w:rsidR="00643C2B">
        <w:t>État</w:t>
      </w:r>
      <w:r w:rsidRPr="00185A6C">
        <w:t xml:space="preserve"> partie sur les enquêtes qu’il a mené</w:t>
      </w:r>
      <w:r w:rsidR="00C15A65">
        <w:t>es</w:t>
      </w:r>
      <w:r w:rsidRPr="00185A6C">
        <w:t xml:space="preserve"> à cet égard ne sont pas à même de dissiper ces allégations. Le Comité est gravement préoccupé par </w:t>
      </w:r>
      <w:r w:rsidR="00243600">
        <w:t>les allégations selon lesquelles</w:t>
      </w:r>
      <w:r w:rsidRPr="00185A6C">
        <w:t xml:space="preserve"> tous ces</w:t>
      </w:r>
      <w:r w:rsidR="00643C2B">
        <w:t xml:space="preserve"> </w:t>
      </w:r>
      <w:r w:rsidRPr="00185A6C">
        <w:t>«transfèrements secrets»</w:t>
      </w:r>
      <w:r w:rsidR="00643C2B">
        <w:t xml:space="preserve"> </w:t>
      </w:r>
      <w:r w:rsidRPr="00185A6C">
        <w:t>se seraient accompagnés de détention au secret et/ou dans des lieux secrets, d’actes</w:t>
      </w:r>
      <w:r>
        <w:t xml:space="preserve"> de torture et</w:t>
      </w:r>
      <w:r w:rsidR="00DD756B">
        <w:t xml:space="preserve"> de</w:t>
      </w:r>
      <w:r>
        <w:t xml:space="preserve"> mauvais traitements, notamment lors des interrogatoires des suspects, ainsi que de refoulements vers des pays dans lesquels les personnes auraient été également soumises à la torture</w:t>
      </w:r>
      <w:r w:rsidRPr="00AA40C2">
        <w:t xml:space="preserve"> (art. 2</w:t>
      </w:r>
      <w:r>
        <w:t>, 3, 5, 11, 12 et 16).</w:t>
      </w:r>
    </w:p>
    <w:p w:rsidR="009A09FE" w:rsidRPr="009A09FE" w:rsidRDefault="00060CB5" w:rsidP="00677E3E">
      <w:pPr>
        <w:pStyle w:val="H23G"/>
        <w:jc w:val="both"/>
      </w:pPr>
      <w:r>
        <w:tab/>
      </w:r>
      <w:r>
        <w:tab/>
      </w:r>
      <w:r w:rsidR="009A09FE" w:rsidRPr="009A09FE">
        <w:t xml:space="preserve">L’État partie devrait faire en sorte qu’aucun individu placé sous son contrôle </w:t>
      </w:r>
      <w:r w:rsidR="00486564" w:rsidRPr="009A09FE">
        <w:t xml:space="preserve">à un moment donné </w:t>
      </w:r>
      <w:r w:rsidR="009A09FE" w:rsidRPr="009A09FE">
        <w:t>ne fasse l’objet de tels «transfèrements secrets». Le transfèrement, le refoulement, la détention et l’interrogation de</w:t>
      </w:r>
      <w:r w:rsidR="00521CF8">
        <w:t>s</w:t>
      </w:r>
      <w:r w:rsidR="009A09FE" w:rsidRPr="009A09FE">
        <w:t xml:space="preserve"> personnes dans de telles conditions constituent en </w:t>
      </w:r>
      <w:r w:rsidR="00677E3E">
        <w:t>eux</w:t>
      </w:r>
      <w:r w:rsidR="009A09FE" w:rsidRPr="009A09FE">
        <w:t>-mêmes une violation de la Convention. L’État partie devrait mener des investigations effectives et impartiales et</w:t>
      </w:r>
      <w:r w:rsidR="00486564">
        <w:t>,</w:t>
      </w:r>
      <w:r w:rsidR="009A09FE" w:rsidRPr="009A09FE">
        <w:t xml:space="preserve"> le cas échéant</w:t>
      </w:r>
      <w:r w:rsidR="00486564">
        <w:t>,</w:t>
      </w:r>
      <w:r w:rsidR="009A09FE" w:rsidRPr="009A09FE">
        <w:t xml:space="preserve"> </w:t>
      </w:r>
      <w:r w:rsidR="00486564" w:rsidRPr="009A09FE">
        <w:t xml:space="preserve">faire </w:t>
      </w:r>
      <w:r w:rsidR="009A09FE" w:rsidRPr="009A09FE">
        <w:t xml:space="preserve">toute la lumière sur les cas de «transfèrements secrets» dans lesquels </w:t>
      </w:r>
      <w:r w:rsidR="00486564">
        <w:t>il</w:t>
      </w:r>
      <w:r w:rsidR="009A09FE" w:rsidRPr="009A09FE">
        <w:t xml:space="preserve"> a pu jouer un rôle</w:t>
      </w:r>
      <w:r w:rsidR="006258B2">
        <w:t xml:space="preserve">. Il </w:t>
      </w:r>
      <w:r w:rsidR="00521CF8">
        <w:t xml:space="preserve">devrait </w:t>
      </w:r>
      <w:r w:rsidR="00243600" w:rsidRPr="009A09FE">
        <w:rPr>
          <w:lang w:eastAsia="en-GB"/>
        </w:rPr>
        <w:t>poursuivre et punir les auteurs</w:t>
      </w:r>
      <w:r w:rsidR="006258B2">
        <w:rPr>
          <w:lang w:eastAsia="en-GB"/>
        </w:rPr>
        <w:t xml:space="preserve"> de ces transfèrements</w:t>
      </w:r>
      <w:r w:rsidR="009A09FE" w:rsidRPr="009A09FE">
        <w:t>.</w:t>
      </w:r>
    </w:p>
    <w:p w:rsidR="009A09FE" w:rsidRPr="009A09FE" w:rsidRDefault="00060CB5" w:rsidP="00E44BBF">
      <w:pPr>
        <w:pStyle w:val="H23G"/>
        <w:jc w:val="both"/>
      </w:pPr>
      <w:r>
        <w:tab/>
      </w:r>
      <w:r>
        <w:tab/>
      </w:r>
      <w:r w:rsidR="00CA098C">
        <w:t>Evènements concernant le</w:t>
      </w:r>
      <w:r w:rsidR="009A09FE" w:rsidRPr="009A09FE">
        <w:t xml:space="preserve"> Sahara </w:t>
      </w:r>
      <w:r w:rsidR="00521CF8">
        <w:t>occidental</w:t>
      </w:r>
    </w:p>
    <w:p w:rsidR="00D81713" w:rsidRPr="006C4349" w:rsidRDefault="009A09FE" w:rsidP="002F6060">
      <w:pPr>
        <w:pStyle w:val="SingleTxtG"/>
      </w:pPr>
      <w:r w:rsidRPr="006C4349">
        <w:t>12.</w:t>
      </w:r>
      <w:r w:rsidRPr="006C4349">
        <w:tab/>
        <w:t xml:space="preserve">Le Comité est préoccupé par les </w:t>
      </w:r>
      <w:r w:rsidR="00243600" w:rsidRPr="006C4349">
        <w:t xml:space="preserve">allégations </w:t>
      </w:r>
      <w:r w:rsidRPr="006C4349">
        <w:t>reçues sur la situation au Sahara occidental, où seraient pratiqués</w:t>
      </w:r>
      <w:r w:rsidR="00243600" w:rsidRPr="006C4349">
        <w:t xml:space="preserve"> des arrestations et </w:t>
      </w:r>
      <w:r w:rsidR="00704808">
        <w:t xml:space="preserve">des </w:t>
      </w:r>
      <w:r w:rsidR="00243600" w:rsidRPr="006C4349">
        <w:t>détentions arbitraires, des détentions au secret et dans des lieux secrets, des tortures</w:t>
      </w:r>
      <w:r w:rsidR="00704808">
        <w:t xml:space="preserve">, des </w:t>
      </w:r>
      <w:r w:rsidR="00243600" w:rsidRPr="006C4349">
        <w:t>mauvais traitements, des extorsions d’aveux sous la torture et un usage excessif de la force</w:t>
      </w:r>
      <w:r w:rsidR="00704808">
        <w:t xml:space="preserve"> </w:t>
      </w:r>
      <w:r w:rsidRPr="006C4349">
        <w:t xml:space="preserve">par les forces </w:t>
      </w:r>
      <w:r w:rsidR="001E51C7" w:rsidRPr="002F6060">
        <w:t xml:space="preserve">de sécurité et par les forces de </w:t>
      </w:r>
      <w:r w:rsidRPr="002F6060">
        <w:t xml:space="preserve">l’ordre </w:t>
      </w:r>
      <w:r w:rsidR="001E51C7" w:rsidRPr="002F6060">
        <w:t>marocaines</w:t>
      </w:r>
      <w:r w:rsidRPr="002F6060">
        <w:t>.</w:t>
      </w:r>
      <w:r w:rsidRPr="006C4349">
        <w:t xml:space="preserve"> </w:t>
      </w:r>
    </w:p>
    <w:p w:rsidR="00D81713" w:rsidRPr="006C4349" w:rsidRDefault="00D81713" w:rsidP="00B34EC6">
      <w:pPr>
        <w:pStyle w:val="H23G"/>
        <w:ind w:firstLine="0"/>
        <w:jc w:val="both"/>
      </w:pPr>
      <w:r w:rsidRPr="006C4349">
        <w:t>Le Comité rappelle encore un</w:t>
      </w:r>
      <w:r w:rsidR="00864EB6">
        <w:t>e</w:t>
      </w:r>
      <w:r w:rsidRPr="006C4349">
        <w:t xml:space="preserve"> fois qu’en vertu de la Convention contre la torture </w:t>
      </w:r>
      <w:r w:rsidR="00864EB6">
        <w:t xml:space="preserve">et autres peines ou traitements cruels, inhumains ou dégradants </w:t>
      </w:r>
      <w:r w:rsidRPr="006C4349">
        <w:t xml:space="preserve">aucune circonstance exceptionnelle quelle qu’elle soit ne </w:t>
      </w:r>
      <w:r w:rsidR="006E0FED">
        <w:t>saurait</w:t>
      </w:r>
      <w:r w:rsidRPr="006C4349">
        <w:t xml:space="preserve"> être invoquée pour justifier la torture </w:t>
      </w:r>
      <w:r w:rsidR="00CA098C">
        <w:t xml:space="preserve">sur le </w:t>
      </w:r>
      <w:r w:rsidR="00E968A2">
        <w:t>territoire</w:t>
      </w:r>
      <w:r w:rsidR="00CA098C">
        <w:t xml:space="preserve"> soumis à la juridiction de</w:t>
      </w:r>
      <w:r w:rsidR="00E968A2">
        <w:t xml:space="preserve"> </w:t>
      </w:r>
      <w:r w:rsidR="00CA098C">
        <w:t>l’</w:t>
      </w:r>
      <w:r w:rsidR="00643C2B">
        <w:t>État</w:t>
      </w:r>
      <w:r w:rsidR="00CA098C">
        <w:t xml:space="preserve"> partie </w:t>
      </w:r>
      <w:r w:rsidRPr="006C4349">
        <w:t>et que les mesures de maintien de l’ordre</w:t>
      </w:r>
      <w:r w:rsidR="006E0FED">
        <w:t xml:space="preserve"> ainsi que</w:t>
      </w:r>
      <w:r w:rsidRPr="006C4349">
        <w:t xml:space="preserve"> </w:t>
      </w:r>
      <w:r w:rsidR="006E0FED">
        <w:t xml:space="preserve">les </w:t>
      </w:r>
      <w:r w:rsidRPr="006C4349">
        <w:t>procédures d’enquête et d’investigation doivent être appliquées dans le plein respect du droit international relatif aux droits de l’homme, ainsi que des procédures judiciaires et des garanties fondamentales en vigueur dans l’</w:t>
      </w:r>
      <w:r w:rsidR="00643C2B">
        <w:t>État</w:t>
      </w:r>
      <w:r w:rsidRPr="006C4349">
        <w:t xml:space="preserve"> partie. L’</w:t>
      </w:r>
      <w:r w:rsidR="00643C2B">
        <w:t>État</w:t>
      </w:r>
      <w:r w:rsidRPr="006C4349">
        <w:t xml:space="preserve"> partie devrait prendre d’urgence des mesures concrètes pour prévenir les actes de torture et les mauvais traitements </w:t>
      </w:r>
      <w:r w:rsidR="00CA098C">
        <w:t>décri</w:t>
      </w:r>
      <w:r w:rsidR="006E0FED">
        <w:t>t</w:t>
      </w:r>
      <w:r w:rsidR="00CA098C">
        <w:t>s précédemment</w:t>
      </w:r>
      <w:r w:rsidR="006E0FED">
        <w:t xml:space="preserve">. En outre, il devrait </w:t>
      </w:r>
      <w:r w:rsidRPr="006C4349">
        <w:t xml:space="preserve">annoncer une politique  de nature à produire des résultats </w:t>
      </w:r>
      <w:r w:rsidRPr="00B34EC6">
        <w:t>mesurables</w:t>
      </w:r>
      <w:r w:rsidRPr="006C4349">
        <w:t xml:space="preserve"> </w:t>
      </w:r>
      <w:r w:rsidR="003652DD">
        <w:t xml:space="preserve">par rapport à l’objectif </w:t>
      </w:r>
      <w:r w:rsidRPr="006C4349">
        <w:t>d’élimin</w:t>
      </w:r>
      <w:r w:rsidR="003652DD">
        <w:t>er tou</w:t>
      </w:r>
      <w:r w:rsidR="00B34EC6">
        <w:t>t</w:t>
      </w:r>
      <w:r w:rsidR="003652DD">
        <w:t xml:space="preserve"> </w:t>
      </w:r>
      <w:r w:rsidRPr="006C4349">
        <w:t xml:space="preserve">acte de torture et </w:t>
      </w:r>
      <w:r w:rsidR="00B34EC6">
        <w:t xml:space="preserve">tout </w:t>
      </w:r>
      <w:r w:rsidRPr="006C4349">
        <w:t xml:space="preserve">mauvais traitements </w:t>
      </w:r>
      <w:r w:rsidR="003652DD">
        <w:t>de la part des</w:t>
      </w:r>
      <w:r w:rsidRPr="006C4349">
        <w:t xml:space="preserve"> agents de l’</w:t>
      </w:r>
      <w:r w:rsidR="00643C2B">
        <w:t>État</w:t>
      </w:r>
      <w:r w:rsidRPr="006C4349">
        <w:t>. L’</w:t>
      </w:r>
      <w:r w:rsidR="00643C2B">
        <w:t>État</w:t>
      </w:r>
      <w:r w:rsidRPr="006C4349">
        <w:t xml:space="preserve"> partie devrait renforcer les mesures prises pour que des enquêtes approfondies, impartiales et efficaces soient menées rapidement sur toutes les allégations de torture et de mauvais traitement infligés à des prisonniers</w:t>
      </w:r>
      <w:r w:rsidR="007F07AE">
        <w:t xml:space="preserve">, </w:t>
      </w:r>
      <w:r w:rsidRPr="006C4349">
        <w:t xml:space="preserve">à des détenus et sur tous les </w:t>
      </w:r>
      <w:r w:rsidR="00A56606">
        <w:t>autres cas</w:t>
      </w:r>
      <w:r w:rsidRPr="006C4349">
        <w:t>.</w:t>
      </w:r>
    </w:p>
    <w:p w:rsidR="00D81713" w:rsidRDefault="006C4349" w:rsidP="00E44BBF">
      <w:pPr>
        <w:pStyle w:val="SingleTxtG"/>
        <w:rPr>
          <w:b/>
          <w:bCs/>
        </w:rPr>
      </w:pPr>
      <w:r w:rsidRPr="00130B3A">
        <w:rPr>
          <w:b/>
          <w:bCs/>
        </w:rPr>
        <w:t xml:space="preserve">Le </w:t>
      </w:r>
      <w:r w:rsidRPr="00B34EC6">
        <w:rPr>
          <w:b/>
          <w:bCs/>
        </w:rPr>
        <w:t>Camp Gdeim Izik</w:t>
      </w:r>
    </w:p>
    <w:p w:rsidR="0029211D" w:rsidRDefault="0029211D" w:rsidP="00130B3A">
      <w:pPr>
        <w:pStyle w:val="H23G"/>
        <w:jc w:val="both"/>
      </w:pPr>
      <w:r w:rsidRPr="00441D07">
        <w:rPr>
          <w:b w:val="0"/>
          <w:bCs/>
        </w:rPr>
        <w:tab/>
      </w:r>
      <w:r w:rsidRPr="00441D07">
        <w:rPr>
          <w:b w:val="0"/>
          <w:bCs/>
        </w:rPr>
        <w:tab/>
      </w:r>
      <w:r w:rsidR="00F82723" w:rsidRPr="00441D07">
        <w:rPr>
          <w:b w:val="0"/>
          <w:bCs/>
        </w:rPr>
        <w:t>1</w:t>
      </w:r>
      <w:r w:rsidR="00936C81" w:rsidRPr="00441D07">
        <w:rPr>
          <w:b w:val="0"/>
          <w:bCs/>
        </w:rPr>
        <w:t>3</w:t>
      </w:r>
      <w:r w:rsidR="00D81713" w:rsidRPr="00441D07">
        <w:rPr>
          <w:b w:val="0"/>
          <w:bCs/>
        </w:rPr>
        <w:t>.</w:t>
      </w:r>
      <w:r w:rsidR="00D81713" w:rsidRPr="00441D07">
        <w:rPr>
          <w:b w:val="0"/>
          <w:bCs/>
        </w:rPr>
        <w:tab/>
      </w:r>
      <w:r w:rsidR="009A09FE" w:rsidRPr="00441D07">
        <w:rPr>
          <w:b w:val="0"/>
          <w:bCs/>
        </w:rPr>
        <w:t xml:space="preserve">Le Comité est tout particulièrement préoccupé par les </w:t>
      </w:r>
      <w:r w:rsidR="004B38E9" w:rsidRPr="00441D07">
        <w:rPr>
          <w:b w:val="0"/>
          <w:bCs/>
        </w:rPr>
        <w:t xml:space="preserve">circonstances qui ont entouré </w:t>
      </w:r>
      <w:r w:rsidR="009A09FE" w:rsidRPr="00441D07">
        <w:rPr>
          <w:b w:val="0"/>
          <w:bCs/>
        </w:rPr>
        <w:t xml:space="preserve"> l’évacuation du camp de Gdeim Izik en novembre 2010</w:t>
      </w:r>
      <w:r w:rsidR="000C3CFB">
        <w:rPr>
          <w:b w:val="0"/>
          <w:bCs/>
        </w:rPr>
        <w:t>. A</w:t>
      </w:r>
      <w:r w:rsidR="009A09FE" w:rsidRPr="00441D07">
        <w:rPr>
          <w:b w:val="0"/>
          <w:bCs/>
        </w:rPr>
        <w:t>u cours de</w:t>
      </w:r>
      <w:r w:rsidR="00DA67C1" w:rsidRPr="00441D07">
        <w:rPr>
          <w:b w:val="0"/>
          <w:bCs/>
        </w:rPr>
        <w:t xml:space="preserve"> </w:t>
      </w:r>
      <w:r w:rsidR="000C3CFB">
        <w:rPr>
          <w:b w:val="0"/>
          <w:bCs/>
        </w:rPr>
        <w:t xml:space="preserve">cette évacuation, </w:t>
      </w:r>
      <w:r w:rsidR="009A09FE" w:rsidRPr="00441D07">
        <w:rPr>
          <w:b w:val="0"/>
          <w:bCs/>
        </w:rPr>
        <w:t>plusieurs personnes ont été tuées</w:t>
      </w:r>
      <w:r w:rsidR="00243600" w:rsidRPr="00441D07">
        <w:rPr>
          <w:b w:val="0"/>
          <w:bCs/>
        </w:rPr>
        <w:t>, y compris des agents des forces</w:t>
      </w:r>
      <w:r w:rsidR="009A09FE" w:rsidRPr="00441D07">
        <w:rPr>
          <w:b w:val="0"/>
          <w:bCs/>
        </w:rPr>
        <w:t xml:space="preserve"> </w:t>
      </w:r>
      <w:r w:rsidR="00243600" w:rsidRPr="00441D07">
        <w:rPr>
          <w:b w:val="0"/>
          <w:bCs/>
        </w:rPr>
        <w:t xml:space="preserve">de l’ordre, </w:t>
      </w:r>
      <w:r w:rsidR="009A09FE" w:rsidRPr="00441D07">
        <w:rPr>
          <w:b w:val="0"/>
          <w:bCs/>
        </w:rPr>
        <w:t xml:space="preserve">et des centaines d’autres arrêtées. Le Comité </w:t>
      </w:r>
      <w:r w:rsidR="00243600" w:rsidRPr="00441D07">
        <w:rPr>
          <w:b w:val="0"/>
          <w:bCs/>
        </w:rPr>
        <w:t>reconna</w:t>
      </w:r>
      <w:r w:rsidR="00CA2EE5">
        <w:rPr>
          <w:b w:val="0"/>
          <w:bCs/>
        </w:rPr>
        <w:t>î</w:t>
      </w:r>
      <w:r w:rsidR="00243600" w:rsidRPr="00441D07">
        <w:rPr>
          <w:b w:val="0"/>
          <w:bCs/>
        </w:rPr>
        <w:t>t</w:t>
      </w:r>
      <w:r w:rsidR="009A09FE" w:rsidRPr="00441D07">
        <w:rPr>
          <w:b w:val="0"/>
          <w:bCs/>
        </w:rPr>
        <w:t xml:space="preserve"> que </w:t>
      </w:r>
      <w:r w:rsidR="00CA2EE5">
        <w:rPr>
          <w:b w:val="0"/>
          <w:bCs/>
        </w:rPr>
        <w:t xml:space="preserve">la grande majorité </w:t>
      </w:r>
      <w:r w:rsidR="009A09FE" w:rsidRPr="00441D07">
        <w:rPr>
          <w:b w:val="0"/>
          <w:bCs/>
        </w:rPr>
        <w:t xml:space="preserve">des personnes arrêtées </w:t>
      </w:r>
      <w:r w:rsidR="00414EDB">
        <w:rPr>
          <w:b w:val="0"/>
          <w:bCs/>
        </w:rPr>
        <w:t>ont</w:t>
      </w:r>
      <w:r w:rsidR="00CA2EE5" w:rsidRPr="00441D07">
        <w:rPr>
          <w:b w:val="0"/>
          <w:bCs/>
        </w:rPr>
        <w:t xml:space="preserve"> </w:t>
      </w:r>
      <w:r w:rsidR="009A09FE" w:rsidRPr="00441D07">
        <w:rPr>
          <w:b w:val="0"/>
          <w:bCs/>
        </w:rPr>
        <w:t>été depuis remise</w:t>
      </w:r>
      <w:r w:rsidR="00414EDB">
        <w:rPr>
          <w:b w:val="0"/>
          <w:bCs/>
        </w:rPr>
        <w:t>s</w:t>
      </w:r>
      <w:r w:rsidR="009A09FE" w:rsidRPr="00441D07">
        <w:rPr>
          <w:b w:val="0"/>
          <w:bCs/>
        </w:rPr>
        <w:t xml:space="preserve"> en liberté dans l’attente de leur procès</w:t>
      </w:r>
      <w:r w:rsidR="00CA2EE5">
        <w:rPr>
          <w:b w:val="0"/>
          <w:bCs/>
        </w:rPr>
        <w:t>. Cependant</w:t>
      </w:r>
      <w:r w:rsidR="009A09FE" w:rsidRPr="00441D07">
        <w:rPr>
          <w:b w:val="0"/>
          <w:bCs/>
        </w:rPr>
        <w:t xml:space="preserve">, il reste </w:t>
      </w:r>
      <w:r w:rsidR="00243600" w:rsidRPr="00441D07">
        <w:rPr>
          <w:b w:val="0"/>
          <w:bCs/>
        </w:rPr>
        <w:t xml:space="preserve">sérieusement </w:t>
      </w:r>
      <w:r w:rsidR="009A09FE" w:rsidRPr="00441D07">
        <w:rPr>
          <w:b w:val="0"/>
          <w:bCs/>
        </w:rPr>
        <w:t xml:space="preserve">préoccupé par le fait que lesdits procès </w:t>
      </w:r>
      <w:r w:rsidR="00373CD4">
        <w:rPr>
          <w:b w:val="0"/>
          <w:bCs/>
        </w:rPr>
        <w:t>se dérouleront</w:t>
      </w:r>
      <w:r w:rsidR="009A09FE" w:rsidRPr="00441D07">
        <w:rPr>
          <w:b w:val="0"/>
          <w:bCs/>
        </w:rPr>
        <w:t xml:space="preserve"> devant des tribunaux militaires alors qu</w:t>
      </w:r>
      <w:r w:rsidR="000C3CFB">
        <w:rPr>
          <w:b w:val="0"/>
          <w:bCs/>
        </w:rPr>
        <w:t xml:space="preserve">e les intéressés sont des </w:t>
      </w:r>
      <w:r w:rsidR="009A09FE" w:rsidRPr="00441D07">
        <w:rPr>
          <w:b w:val="0"/>
          <w:bCs/>
        </w:rPr>
        <w:t>civils. De plus, le Comité se déclare préoccupé par le fait qu’</w:t>
      </w:r>
      <w:r w:rsidR="009F6D7A">
        <w:rPr>
          <w:b w:val="0"/>
          <w:bCs/>
        </w:rPr>
        <w:t xml:space="preserve">aucune </w:t>
      </w:r>
      <w:r w:rsidR="009A09FE" w:rsidRPr="00441D07">
        <w:rPr>
          <w:b w:val="0"/>
          <w:bCs/>
        </w:rPr>
        <w:t xml:space="preserve">enquête impartiale et efficace </w:t>
      </w:r>
      <w:r w:rsidR="009F6D7A">
        <w:rPr>
          <w:b w:val="0"/>
          <w:bCs/>
        </w:rPr>
        <w:t xml:space="preserve">n’a été ouverte pour </w:t>
      </w:r>
      <w:r w:rsidR="009A09FE" w:rsidRPr="00441D07">
        <w:rPr>
          <w:b w:val="0"/>
          <w:bCs/>
        </w:rPr>
        <w:t xml:space="preserve">faire la lumière sur </w:t>
      </w:r>
      <w:r w:rsidR="009F6D7A">
        <w:rPr>
          <w:b w:val="0"/>
          <w:bCs/>
        </w:rPr>
        <w:t>c</w:t>
      </w:r>
      <w:r w:rsidR="009A09FE" w:rsidRPr="00441D07">
        <w:rPr>
          <w:b w:val="0"/>
          <w:bCs/>
        </w:rPr>
        <w:t>es évènements et établir les responsabilités éventuelles au sein des forces de l’ordre (art. 2, 11, 12, 15 et 16)</w:t>
      </w:r>
      <w:r w:rsidRPr="00441D07">
        <w:rPr>
          <w:b w:val="0"/>
          <w:bCs/>
        </w:rPr>
        <w:t>.</w:t>
      </w:r>
      <w:r w:rsidR="00060CB5" w:rsidRPr="00441D07">
        <w:rPr>
          <w:b w:val="0"/>
          <w:bCs/>
        </w:rPr>
        <w:tab/>
      </w:r>
      <w:r w:rsidR="00060CB5">
        <w:tab/>
      </w:r>
      <w:r w:rsidR="00060CB5">
        <w:tab/>
      </w:r>
    </w:p>
    <w:p w:rsidR="009A09FE" w:rsidRPr="009A09FE" w:rsidRDefault="0029211D" w:rsidP="0029102F">
      <w:pPr>
        <w:pStyle w:val="H23G"/>
        <w:jc w:val="both"/>
      </w:pPr>
      <w:r>
        <w:tab/>
      </w:r>
      <w:r>
        <w:tab/>
      </w:r>
      <w:r w:rsidR="009A09FE" w:rsidRPr="006C4349">
        <w:t>L’</w:t>
      </w:r>
      <w:r w:rsidR="00643C2B">
        <w:t>État</w:t>
      </w:r>
      <w:r w:rsidR="009A09FE" w:rsidRPr="006C4349">
        <w:t xml:space="preserve"> partie devrait renforcer les mesures prises pour que des enquêtes approfondies, impartiales et efficaces soient menées rapidement sur les violences et les décès </w:t>
      </w:r>
      <w:r w:rsidR="000C3CFB">
        <w:t xml:space="preserve">survenus </w:t>
      </w:r>
      <w:r w:rsidR="00FA6CE0">
        <w:t>à l’occasion</w:t>
      </w:r>
      <w:r w:rsidR="00E31656">
        <w:t xml:space="preserve"> </w:t>
      </w:r>
      <w:r w:rsidR="009A09FE" w:rsidRPr="006C4349">
        <w:t xml:space="preserve">du démantèlement du camp de Gdeim Izik, et </w:t>
      </w:r>
      <w:r w:rsidR="000A1B67">
        <w:t xml:space="preserve">que </w:t>
      </w:r>
      <w:r w:rsidR="000A1B67" w:rsidRPr="006C4349">
        <w:t xml:space="preserve">les </w:t>
      </w:r>
      <w:r w:rsidR="000A1B67" w:rsidRPr="009242AD">
        <w:t xml:space="preserve">responsables soient </w:t>
      </w:r>
      <w:r w:rsidR="009A09FE" w:rsidRPr="009242AD">
        <w:t>tradui</w:t>
      </w:r>
      <w:r w:rsidR="000A1B67" w:rsidRPr="009242AD">
        <w:t xml:space="preserve">ts </w:t>
      </w:r>
      <w:r w:rsidR="009A09FE" w:rsidRPr="009242AD">
        <w:t>en justice. L’</w:t>
      </w:r>
      <w:r w:rsidR="00643C2B" w:rsidRPr="009242AD">
        <w:t>État</w:t>
      </w:r>
      <w:r w:rsidR="009A09FE" w:rsidRPr="009242AD">
        <w:t xml:space="preserve"> partie devrait modifier sa législation afin de garantir </w:t>
      </w:r>
      <w:r w:rsidR="00F73B53" w:rsidRPr="009242AD">
        <w:t xml:space="preserve">à </w:t>
      </w:r>
      <w:r w:rsidR="009A09FE" w:rsidRPr="009242AD">
        <w:t xml:space="preserve">toutes les personnes civiles </w:t>
      </w:r>
      <w:r w:rsidR="00F73B53" w:rsidRPr="009242AD">
        <w:t>d’être</w:t>
      </w:r>
      <w:r w:rsidR="009A09FE" w:rsidRPr="009242AD">
        <w:t xml:space="preserve"> jugées </w:t>
      </w:r>
      <w:r w:rsidR="00C5434A" w:rsidRPr="009242AD">
        <w:t xml:space="preserve">exclusivement </w:t>
      </w:r>
      <w:r w:rsidR="009A09FE" w:rsidRPr="009242AD">
        <w:t>par des juridictions civiles.</w:t>
      </w:r>
    </w:p>
    <w:p w:rsidR="00CA098C" w:rsidRPr="009A09FE" w:rsidRDefault="00060CB5" w:rsidP="00130B3A">
      <w:pPr>
        <w:pStyle w:val="H23G"/>
        <w:jc w:val="both"/>
        <w:rPr>
          <w:lang w:eastAsia="en-GB"/>
        </w:rPr>
      </w:pPr>
      <w:r>
        <w:rPr>
          <w:lang w:eastAsia="en-GB"/>
        </w:rPr>
        <w:tab/>
      </w:r>
      <w:r>
        <w:rPr>
          <w:lang w:eastAsia="en-GB"/>
        </w:rPr>
        <w:tab/>
      </w:r>
      <w:r w:rsidR="00CA098C" w:rsidRPr="009A09FE">
        <w:rPr>
          <w:lang w:eastAsia="en-GB"/>
        </w:rPr>
        <w:t>Arrestation</w:t>
      </w:r>
      <w:r w:rsidR="006C05C7">
        <w:rPr>
          <w:lang w:eastAsia="en-GB"/>
        </w:rPr>
        <w:t>s</w:t>
      </w:r>
      <w:r w:rsidR="00CA098C" w:rsidRPr="009A09FE">
        <w:rPr>
          <w:lang w:eastAsia="en-GB"/>
        </w:rPr>
        <w:t xml:space="preserve"> et détention</w:t>
      </w:r>
      <w:r w:rsidR="006C05C7">
        <w:rPr>
          <w:lang w:eastAsia="en-GB"/>
        </w:rPr>
        <w:t>s</w:t>
      </w:r>
      <w:r w:rsidR="00CA098C" w:rsidRPr="009A09FE">
        <w:rPr>
          <w:lang w:eastAsia="en-GB"/>
        </w:rPr>
        <w:t xml:space="preserve"> </w:t>
      </w:r>
      <w:r w:rsidR="00CA098C">
        <w:rPr>
          <w:lang w:eastAsia="en-GB"/>
        </w:rPr>
        <w:t>secrètes dans les affaires de sécurité</w:t>
      </w:r>
    </w:p>
    <w:p w:rsidR="00CA098C" w:rsidRDefault="00936C81" w:rsidP="009242AD">
      <w:pPr>
        <w:pStyle w:val="SingleTxtG"/>
      </w:pPr>
      <w:r>
        <w:t>14</w:t>
      </w:r>
      <w:r w:rsidR="00CA098C">
        <w:t>.</w:t>
      </w:r>
      <w:r w:rsidR="00CA098C">
        <w:tab/>
        <w:t>Le Comité</w:t>
      </w:r>
      <w:r w:rsidR="00CA098C" w:rsidRPr="00C765D3">
        <w:t xml:space="preserve"> est préoccupé par </w:t>
      </w:r>
      <w:r w:rsidR="00CA098C">
        <w:t>les informations reçues selon lesquelles</w:t>
      </w:r>
      <w:r w:rsidR="009242AD">
        <w:t>,</w:t>
      </w:r>
      <w:r w:rsidR="00CA098C">
        <w:t xml:space="preserve"> dans les affaires </w:t>
      </w:r>
      <w:r w:rsidR="009242AD">
        <w:t>liées au</w:t>
      </w:r>
      <w:r w:rsidR="00CA098C">
        <w:t xml:space="preserve"> terrorisme, les procédures judiciaires qui régissent l’arrestation, l’interrogation et la détention ne </w:t>
      </w:r>
      <w:r w:rsidR="00C85B03">
        <w:t>sont</w:t>
      </w:r>
      <w:r w:rsidR="00CA098C">
        <w:t xml:space="preserve"> pas toujours respectées dans la pratique</w:t>
      </w:r>
      <w:r w:rsidR="00C85B03">
        <w:t xml:space="preserve">. Il est également préoccupé </w:t>
      </w:r>
      <w:r w:rsidR="00CA098C">
        <w:t xml:space="preserve">par les allégations </w:t>
      </w:r>
      <w:r w:rsidR="000B44D1">
        <w:t>faisant état d</w:t>
      </w:r>
      <w:r w:rsidR="00CA098C">
        <w:t>u schéma récurrent suivant</w:t>
      </w:r>
      <w:r w:rsidR="00657091">
        <w:t>:</w:t>
      </w:r>
      <w:r w:rsidR="00C41F4F">
        <w:t xml:space="preserve"> </w:t>
      </w:r>
      <w:r w:rsidR="00CA098C">
        <w:t>dans ces affaires</w:t>
      </w:r>
      <w:r w:rsidR="00D23E98">
        <w:t>,</w:t>
      </w:r>
      <w:r w:rsidR="00CA098C">
        <w:t xml:space="preserve"> les suspects </w:t>
      </w:r>
      <w:r w:rsidR="000B44D1">
        <w:t>sont</w:t>
      </w:r>
      <w:r w:rsidR="00CA098C">
        <w:t xml:space="preserve"> arrêtés par des officiers en civil qui ne s’identifient pas clairement, </w:t>
      </w:r>
      <w:r w:rsidR="00D23E98">
        <w:t>puis</w:t>
      </w:r>
      <w:r w:rsidR="00CA098C">
        <w:t xml:space="preserve"> amenés pour être interrogés et détenus dans des lieux de détention secrets, </w:t>
      </w:r>
      <w:r w:rsidR="00D23E98">
        <w:rPr>
          <w:lang w:eastAsia="en-GB"/>
        </w:rPr>
        <w:t>ce qui revient</w:t>
      </w:r>
      <w:r w:rsidR="00CA098C" w:rsidRPr="009A09FE">
        <w:rPr>
          <w:lang w:eastAsia="en-GB"/>
        </w:rPr>
        <w:t xml:space="preserve"> en pratique</w:t>
      </w:r>
      <w:r w:rsidR="00D23E98">
        <w:rPr>
          <w:lang w:eastAsia="en-GB"/>
        </w:rPr>
        <w:t xml:space="preserve"> à </w:t>
      </w:r>
      <w:r w:rsidR="00CA098C" w:rsidRPr="009A09FE">
        <w:rPr>
          <w:lang w:eastAsia="en-GB"/>
        </w:rPr>
        <w:t>une détention au secret</w:t>
      </w:r>
      <w:r w:rsidR="00D23E98">
        <w:rPr>
          <w:lang w:eastAsia="en-GB"/>
        </w:rPr>
        <w:t xml:space="preserve">. Les suspects </w:t>
      </w:r>
      <w:r w:rsidR="000B44D1">
        <w:rPr>
          <w:lang w:eastAsia="en-GB"/>
        </w:rPr>
        <w:t>sont</w:t>
      </w:r>
      <w:r w:rsidR="00CA098C" w:rsidRPr="009A09FE">
        <w:rPr>
          <w:lang w:eastAsia="en-GB"/>
        </w:rPr>
        <w:t xml:space="preserve"> soumis à la torture et à d’autres peines ou traitements </w:t>
      </w:r>
      <w:r w:rsidR="00CA098C">
        <w:rPr>
          <w:lang w:eastAsia="en-GB"/>
        </w:rPr>
        <w:t xml:space="preserve">cruels, inhumains ou dégradants </w:t>
      </w:r>
      <w:r w:rsidR="00CA098C">
        <w:t>sans être officiellement enregistrés</w:t>
      </w:r>
      <w:r w:rsidR="009242AD">
        <w:t>. Ils son</w:t>
      </w:r>
      <w:r w:rsidR="00CA098C">
        <w:t>t gardés dans ces conditions pendant plusieurs semaines sans être présentés à un juge et sans contrôle de la part des autorités judiciaires. Leur famille n</w:t>
      </w:r>
      <w:r w:rsidR="009242AD">
        <w:t xml:space="preserve">’est </w:t>
      </w:r>
      <w:r w:rsidR="00CA098C">
        <w:t xml:space="preserve">informée de leur arrestation, de leurs mouvements et de leur lieu de détention qu’à partir du moment où ils </w:t>
      </w:r>
      <w:r w:rsidR="009242AD">
        <w:t>sont</w:t>
      </w:r>
      <w:r w:rsidR="00CA098C">
        <w:t xml:space="preserve"> transférés à la police pour signer </w:t>
      </w:r>
      <w:r w:rsidR="0021484C">
        <w:t>des</w:t>
      </w:r>
      <w:r w:rsidR="00CA098C">
        <w:t xml:space="preserve"> aveux obtenus sous la torture</w:t>
      </w:r>
      <w:r w:rsidR="0021484C">
        <w:t xml:space="preserve">. </w:t>
      </w:r>
      <w:r w:rsidR="000B44D1">
        <w:t xml:space="preserve">Ce n’est qu’alors qu’ils sont </w:t>
      </w:r>
      <w:r w:rsidR="00CA098C">
        <w:t xml:space="preserve">officiellement enregistrés et réintégrés dans la procédure judiciaire régulière avec des dates et </w:t>
      </w:r>
      <w:r w:rsidR="0021484C">
        <w:t xml:space="preserve">des </w:t>
      </w:r>
      <w:r w:rsidR="00CA098C">
        <w:t xml:space="preserve">données </w:t>
      </w:r>
      <w:r w:rsidR="00CA098C" w:rsidRPr="00643C2B">
        <w:rPr>
          <w:iCs/>
        </w:rPr>
        <w:t>de facto</w:t>
      </w:r>
      <w:r w:rsidR="00CA098C">
        <w:t xml:space="preserve"> falsifiées (art. 2, 11, 12, 15 et 16)</w:t>
      </w:r>
      <w:r w:rsidR="00130B3A">
        <w:t>.</w:t>
      </w:r>
    </w:p>
    <w:p w:rsidR="009A09FE" w:rsidRPr="009A09FE" w:rsidRDefault="0029211D" w:rsidP="00BC539E">
      <w:pPr>
        <w:pStyle w:val="SingleTxtG"/>
        <w:rPr>
          <w:lang w:eastAsia="en-GB"/>
        </w:rPr>
      </w:pPr>
      <w:r>
        <w:rPr>
          <w:lang w:eastAsia="en-GB"/>
        </w:rPr>
        <w:t>15.</w:t>
      </w:r>
      <w:r>
        <w:rPr>
          <w:lang w:eastAsia="en-GB"/>
        </w:rPr>
        <w:tab/>
      </w:r>
      <w:r w:rsidR="009A09FE" w:rsidRPr="009A09FE">
        <w:rPr>
          <w:lang w:eastAsia="en-GB"/>
        </w:rPr>
        <w:t xml:space="preserve">Le Comité prend note des </w:t>
      </w:r>
      <w:r w:rsidR="00EF474A">
        <w:rPr>
          <w:lang w:eastAsia="en-GB"/>
        </w:rPr>
        <w:t>déclarations</w:t>
      </w:r>
      <w:r w:rsidR="00EF474A" w:rsidRPr="009A09FE">
        <w:rPr>
          <w:lang w:eastAsia="en-GB"/>
        </w:rPr>
        <w:t xml:space="preserve"> </w:t>
      </w:r>
      <w:r w:rsidR="00F527F0">
        <w:rPr>
          <w:lang w:eastAsia="en-GB"/>
        </w:rPr>
        <w:t>faites par</w:t>
      </w:r>
      <w:r w:rsidR="00F527F0" w:rsidRPr="009A09FE">
        <w:rPr>
          <w:lang w:eastAsia="en-GB"/>
        </w:rPr>
        <w:t xml:space="preserve"> </w:t>
      </w:r>
      <w:r w:rsidR="009A09FE" w:rsidRPr="009A09FE">
        <w:rPr>
          <w:lang w:eastAsia="en-GB"/>
        </w:rPr>
        <w:t>l’</w:t>
      </w:r>
      <w:r w:rsidR="00643C2B">
        <w:rPr>
          <w:lang w:eastAsia="en-GB"/>
        </w:rPr>
        <w:t>État</w:t>
      </w:r>
      <w:r w:rsidR="009A09FE" w:rsidRPr="009A09FE">
        <w:rPr>
          <w:lang w:eastAsia="en-GB"/>
        </w:rPr>
        <w:t xml:space="preserve"> partie durant le dialogue </w:t>
      </w:r>
      <w:r w:rsidR="00F527F0">
        <w:rPr>
          <w:lang w:eastAsia="en-GB"/>
        </w:rPr>
        <w:t>selon les</w:t>
      </w:r>
      <w:r w:rsidR="009A09FE" w:rsidRPr="009A09FE">
        <w:rPr>
          <w:lang w:eastAsia="en-GB"/>
        </w:rPr>
        <w:t>qu</w:t>
      </w:r>
      <w:r w:rsidR="00F527F0">
        <w:rPr>
          <w:lang w:eastAsia="en-GB"/>
        </w:rPr>
        <w:t xml:space="preserve">elles </w:t>
      </w:r>
      <w:r w:rsidR="009A09FE" w:rsidRPr="009A09FE">
        <w:rPr>
          <w:lang w:eastAsia="en-GB"/>
        </w:rPr>
        <w:t>il n’exist</w:t>
      </w:r>
      <w:r w:rsidR="00F527F0">
        <w:rPr>
          <w:lang w:eastAsia="en-GB"/>
        </w:rPr>
        <w:t>ait</w:t>
      </w:r>
      <w:r w:rsidR="009A09FE" w:rsidRPr="009A09FE">
        <w:rPr>
          <w:lang w:eastAsia="en-GB"/>
        </w:rPr>
        <w:t xml:space="preserve"> aucun centre de détention secret situé au siège de la DST à Témara, comme l’attestaient les résultats des trois visites effectuées par le Procureur général du Roi en 2004, </w:t>
      </w:r>
      <w:r w:rsidR="006B6276">
        <w:rPr>
          <w:lang w:eastAsia="en-GB"/>
        </w:rPr>
        <w:t xml:space="preserve">mais aussi </w:t>
      </w:r>
      <w:r w:rsidR="00F527F0">
        <w:rPr>
          <w:lang w:eastAsia="en-GB"/>
        </w:rPr>
        <w:t xml:space="preserve">par les </w:t>
      </w:r>
      <w:r w:rsidR="009A09FE" w:rsidRPr="009A09FE">
        <w:rPr>
          <w:lang w:eastAsia="en-GB"/>
        </w:rPr>
        <w:t xml:space="preserve">représentants de la Commission nationale des droits de l’homme et </w:t>
      </w:r>
      <w:r w:rsidR="00D55740">
        <w:rPr>
          <w:lang w:eastAsia="en-GB"/>
        </w:rPr>
        <w:t>par</w:t>
      </w:r>
      <w:r w:rsidR="00170714">
        <w:rPr>
          <w:lang w:eastAsia="en-GB"/>
        </w:rPr>
        <w:t xml:space="preserve"> </w:t>
      </w:r>
      <w:r w:rsidR="00F527F0">
        <w:rPr>
          <w:lang w:eastAsia="en-GB"/>
        </w:rPr>
        <w:t>plusieurs</w:t>
      </w:r>
      <w:r w:rsidR="00F527F0" w:rsidRPr="009A09FE">
        <w:rPr>
          <w:lang w:eastAsia="en-GB"/>
        </w:rPr>
        <w:t xml:space="preserve"> </w:t>
      </w:r>
      <w:r w:rsidR="009A09FE" w:rsidRPr="009A09FE">
        <w:rPr>
          <w:lang w:eastAsia="en-GB"/>
        </w:rPr>
        <w:t xml:space="preserve">parlementaires en 2011. </w:t>
      </w:r>
      <w:r w:rsidR="00EF474A">
        <w:rPr>
          <w:lang w:eastAsia="en-GB"/>
        </w:rPr>
        <w:t>Toutefois, l</w:t>
      </w:r>
      <w:r w:rsidR="009A09FE" w:rsidRPr="009A09FE">
        <w:rPr>
          <w:lang w:eastAsia="en-GB"/>
        </w:rPr>
        <w:t xml:space="preserve">e Comité regrette le manque d’informations relatives à l’organisation et à la méthodologie de ces visites, qui </w:t>
      </w:r>
      <w:r w:rsidR="001C00FD">
        <w:rPr>
          <w:lang w:eastAsia="en-GB"/>
        </w:rPr>
        <w:t>au vu</w:t>
      </w:r>
      <w:r w:rsidR="00F527F0">
        <w:rPr>
          <w:lang w:eastAsia="en-GB"/>
        </w:rPr>
        <w:t xml:space="preserve"> de la situation</w:t>
      </w:r>
      <w:r w:rsidR="009A09FE" w:rsidRPr="009A09FE">
        <w:rPr>
          <w:lang w:eastAsia="en-GB"/>
        </w:rPr>
        <w:t xml:space="preserve"> et des allégations nombreuses et persistantes </w:t>
      </w:r>
      <w:r w:rsidR="004F0829">
        <w:rPr>
          <w:lang w:eastAsia="en-GB"/>
        </w:rPr>
        <w:t>de</w:t>
      </w:r>
      <w:r w:rsidR="004F0829" w:rsidRPr="009A09FE">
        <w:rPr>
          <w:lang w:eastAsia="en-GB"/>
        </w:rPr>
        <w:t xml:space="preserve"> </w:t>
      </w:r>
      <w:r w:rsidR="009A09FE" w:rsidRPr="009A09FE">
        <w:rPr>
          <w:lang w:eastAsia="en-GB"/>
        </w:rPr>
        <w:t xml:space="preserve">l’existence d’un tel centre de détention secret ne permettent pas de lever le doute sur </w:t>
      </w:r>
      <w:r w:rsidR="00294125">
        <w:rPr>
          <w:lang w:eastAsia="en-GB"/>
        </w:rPr>
        <w:t>l’</w:t>
      </w:r>
      <w:r w:rsidR="009A09FE" w:rsidRPr="009A09FE">
        <w:rPr>
          <w:lang w:eastAsia="en-GB"/>
        </w:rPr>
        <w:t>existence</w:t>
      </w:r>
      <w:r w:rsidR="00294125">
        <w:rPr>
          <w:lang w:eastAsia="en-GB"/>
        </w:rPr>
        <w:t xml:space="preserve"> de ce centre</w:t>
      </w:r>
      <w:r w:rsidR="00A5748D">
        <w:rPr>
          <w:lang w:eastAsia="en-GB"/>
        </w:rPr>
        <w:t>. Celui-ci</w:t>
      </w:r>
      <w:r w:rsidR="00EF474A">
        <w:rPr>
          <w:lang w:eastAsia="en-GB"/>
        </w:rPr>
        <w:t xml:space="preserve"> reste donc un objet de préoccupation </w:t>
      </w:r>
      <w:r w:rsidR="00EF474A" w:rsidRPr="005C6319">
        <w:rPr>
          <w:lang w:eastAsia="en-GB"/>
        </w:rPr>
        <w:t>pour</w:t>
      </w:r>
      <w:r w:rsidR="00EF474A">
        <w:rPr>
          <w:lang w:eastAsia="en-GB"/>
        </w:rPr>
        <w:t xml:space="preserve"> le Comité</w:t>
      </w:r>
      <w:r w:rsidR="009A09FE" w:rsidRPr="009A09FE">
        <w:rPr>
          <w:lang w:eastAsia="en-GB"/>
        </w:rPr>
        <w:t xml:space="preserve">. </w:t>
      </w:r>
      <w:r w:rsidR="000D2AE7">
        <w:rPr>
          <w:lang w:eastAsia="en-GB"/>
        </w:rPr>
        <w:t>Ce dernier</w:t>
      </w:r>
      <w:r w:rsidR="000D2AE7" w:rsidRPr="009A09FE">
        <w:rPr>
          <w:lang w:eastAsia="en-GB"/>
        </w:rPr>
        <w:t xml:space="preserve"> </w:t>
      </w:r>
      <w:r w:rsidR="009A09FE" w:rsidRPr="009A09FE">
        <w:rPr>
          <w:lang w:eastAsia="en-GB"/>
        </w:rPr>
        <w:t xml:space="preserve">est également préoccupé par les allégations selon lesquelles des lieux de détention secrets </w:t>
      </w:r>
      <w:r w:rsidR="004F0829">
        <w:rPr>
          <w:lang w:eastAsia="en-GB"/>
        </w:rPr>
        <w:t>exi</w:t>
      </w:r>
      <w:r w:rsidR="009A09FE" w:rsidRPr="009A09FE">
        <w:rPr>
          <w:lang w:eastAsia="en-GB"/>
        </w:rPr>
        <w:t>s</w:t>
      </w:r>
      <w:r w:rsidR="004F0829">
        <w:rPr>
          <w:lang w:eastAsia="en-GB"/>
        </w:rPr>
        <w:t>t</w:t>
      </w:r>
      <w:r w:rsidR="009A09FE" w:rsidRPr="009A09FE">
        <w:rPr>
          <w:lang w:eastAsia="en-GB"/>
        </w:rPr>
        <w:t>eraient également au sein même d</w:t>
      </w:r>
      <w:r w:rsidR="004F0829">
        <w:rPr>
          <w:lang w:eastAsia="en-GB"/>
        </w:rPr>
        <w:t xml:space="preserve">e certains </w:t>
      </w:r>
      <w:r w:rsidR="009A09FE" w:rsidRPr="009A09FE">
        <w:rPr>
          <w:lang w:eastAsia="en-GB"/>
        </w:rPr>
        <w:t xml:space="preserve">établissements de détention officiels. D’après les </w:t>
      </w:r>
      <w:r w:rsidR="00CA098C">
        <w:rPr>
          <w:lang w:eastAsia="en-GB"/>
        </w:rPr>
        <w:t>allégations</w:t>
      </w:r>
      <w:r w:rsidR="00CA098C" w:rsidRPr="009A09FE">
        <w:rPr>
          <w:lang w:eastAsia="en-GB"/>
        </w:rPr>
        <w:t xml:space="preserve"> </w:t>
      </w:r>
      <w:r w:rsidR="009A09FE" w:rsidRPr="009A09FE">
        <w:rPr>
          <w:lang w:eastAsia="en-GB"/>
        </w:rPr>
        <w:t xml:space="preserve">reçues par le Comité, ces centres de détention secrets ne feraient l’objet d’aucune surveillance </w:t>
      </w:r>
      <w:r w:rsidR="00CF02BF">
        <w:rPr>
          <w:lang w:eastAsia="en-GB"/>
        </w:rPr>
        <w:t>ni</w:t>
      </w:r>
      <w:r w:rsidR="00CF02BF" w:rsidRPr="009A09FE">
        <w:rPr>
          <w:lang w:eastAsia="en-GB"/>
        </w:rPr>
        <w:t xml:space="preserve"> </w:t>
      </w:r>
      <w:r w:rsidR="009A09FE" w:rsidRPr="009A09FE">
        <w:rPr>
          <w:lang w:eastAsia="en-GB"/>
        </w:rPr>
        <w:t xml:space="preserve">inspection </w:t>
      </w:r>
      <w:r w:rsidR="00CF02BF">
        <w:rPr>
          <w:lang w:eastAsia="en-GB"/>
        </w:rPr>
        <w:t xml:space="preserve">de la </w:t>
      </w:r>
      <w:r w:rsidR="009A09FE" w:rsidRPr="009A09FE">
        <w:rPr>
          <w:lang w:eastAsia="en-GB"/>
        </w:rPr>
        <w:t>par</w:t>
      </w:r>
      <w:r w:rsidR="00CF02BF">
        <w:rPr>
          <w:lang w:eastAsia="en-GB"/>
        </w:rPr>
        <w:t>t</w:t>
      </w:r>
      <w:r w:rsidR="009A09FE" w:rsidRPr="009A09FE">
        <w:rPr>
          <w:lang w:eastAsia="en-GB"/>
        </w:rPr>
        <w:t xml:space="preserve"> d</w:t>
      </w:r>
      <w:r w:rsidR="00BC539E">
        <w:rPr>
          <w:lang w:eastAsia="en-GB"/>
        </w:rPr>
        <w:t>’</w:t>
      </w:r>
      <w:r w:rsidR="009A09FE" w:rsidRPr="009A09FE">
        <w:rPr>
          <w:lang w:eastAsia="en-GB"/>
        </w:rPr>
        <w:t xml:space="preserve">organes indépendants. </w:t>
      </w:r>
      <w:r w:rsidR="00CF02BF">
        <w:rPr>
          <w:lang w:eastAsia="en-GB"/>
        </w:rPr>
        <w:t>Pour finir</w:t>
      </w:r>
      <w:r w:rsidR="009A09FE" w:rsidRPr="009A09FE">
        <w:rPr>
          <w:lang w:eastAsia="en-GB"/>
        </w:rPr>
        <w:t xml:space="preserve">, le Comité est préoccupé par les </w:t>
      </w:r>
      <w:r w:rsidR="00FA1204">
        <w:rPr>
          <w:lang w:eastAsia="en-GB"/>
        </w:rPr>
        <w:t>allégations</w:t>
      </w:r>
      <w:r w:rsidR="009A09FE" w:rsidRPr="009A09FE">
        <w:rPr>
          <w:lang w:eastAsia="en-GB"/>
        </w:rPr>
        <w:t xml:space="preserve"> selon lesquelles une nouvelle prison secrète aurait été construite dans les environs d</w:t>
      </w:r>
      <w:r w:rsidR="009F0861">
        <w:rPr>
          <w:lang w:eastAsia="en-GB"/>
        </w:rPr>
        <w:t>’</w:t>
      </w:r>
      <w:r w:rsidR="009A09FE" w:rsidRPr="009A09FE">
        <w:rPr>
          <w:lang w:eastAsia="en-GB"/>
        </w:rPr>
        <w:t xml:space="preserve">Ain Aouda, près de la capitale Rabat, </w:t>
      </w:r>
      <w:r w:rsidR="009F0861">
        <w:rPr>
          <w:lang w:eastAsia="en-GB"/>
        </w:rPr>
        <w:t>pour</w:t>
      </w:r>
      <w:r w:rsidR="009F0861" w:rsidRPr="009A09FE">
        <w:rPr>
          <w:lang w:eastAsia="en-GB"/>
        </w:rPr>
        <w:t xml:space="preserve"> </w:t>
      </w:r>
      <w:r w:rsidR="009A09FE" w:rsidRPr="009A09FE">
        <w:rPr>
          <w:lang w:eastAsia="en-GB"/>
        </w:rPr>
        <w:t xml:space="preserve">y détenir </w:t>
      </w:r>
      <w:r w:rsidR="009F0861">
        <w:rPr>
          <w:lang w:eastAsia="en-GB"/>
        </w:rPr>
        <w:t>l</w:t>
      </w:r>
      <w:r w:rsidR="009A09FE" w:rsidRPr="009A09FE">
        <w:rPr>
          <w:lang w:eastAsia="en-GB"/>
        </w:rPr>
        <w:t xml:space="preserve">es </w:t>
      </w:r>
      <w:r w:rsidR="00DE7F71">
        <w:rPr>
          <w:lang w:eastAsia="en-GB"/>
        </w:rPr>
        <w:t xml:space="preserve">personnes </w:t>
      </w:r>
      <w:r w:rsidR="009A09FE" w:rsidRPr="009A09FE">
        <w:rPr>
          <w:lang w:eastAsia="en-GB"/>
        </w:rPr>
        <w:t>suspect</w:t>
      </w:r>
      <w:r w:rsidR="00DE7F71">
        <w:rPr>
          <w:lang w:eastAsia="en-GB"/>
        </w:rPr>
        <w:t>ée</w:t>
      </w:r>
      <w:r w:rsidR="009A09FE" w:rsidRPr="009A09FE">
        <w:rPr>
          <w:lang w:eastAsia="en-GB"/>
        </w:rPr>
        <w:t>s</w:t>
      </w:r>
      <w:r w:rsidR="00DE7F71">
        <w:rPr>
          <w:lang w:eastAsia="en-GB"/>
        </w:rPr>
        <w:t xml:space="preserve"> d’être</w:t>
      </w:r>
      <w:r w:rsidR="009A09FE" w:rsidRPr="009A09FE">
        <w:rPr>
          <w:lang w:eastAsia="en-GB"/>
        </w:rPr>
        <w:t xml:space="preserve"> lié</w:t>
      </w:r>
      <w:r w:rsidR="00DE7F71">
        <w:rPr>
          <w:lang w:eastAsia="en-GB"/>
        </w:rPr>
        <w:t>e</w:t>
      </w:r>
      <w:r w:rsidR="009A09FE" w:rsidRPr="009A09FE">
        <w:rPr>
          <w:lang w:eastAsia="en-GB"/>
        </w:rPr>
        <w:t xml:space="preserve">s à des mouvements terroristes (art. 2, 11, 12, 15 et 16). </w:t>
      </w:r>
    </w:p>
    <w:p w:rsidR="00CA098C" w:rsidRDefault="00060CB5" w:rsidP="00475944">
      <w:pPr>
        <w:pStyle w:val="H23G"/>
        <w:jc w:val="both"/>
      </w:pPr>
      <w:r>
        <w:rPr>
          <w:lang w:eastAsia="en-GB"/>
        </w:rPr>
        <w:tab/>
      </w:r>
      <w:r>
        <w:rPr>
          <w:lang w:eastAsia="en-GB"/>
        </w:rPr>
        <w:tab/>
      </w:r>
      <w:r w:rsidR="00CA098C" w:rsidRPr="009A09FE">
        <w:t>L’</w:t>
      </w:r>
      <w:r w:rsidR="00643C2B">
        <w:t>État</w:t>
      </w:r>
      <w:r w:rsidR="00CA098C" w:rsidRPr="009A09FE">
        <w:t xml:space="preserve"> partie devrait garantir que toute personne arrêtée et détenue bénéficie des procédures judiciaires en vigueur et que les garanties fondamentales consacrées par le droit positif so</w:t>
      </w:r>
      <w:r w:rsidR="00677E3E">
        <w:t>ie</w:t>
      </w:r>
      <w:r w:rsidR="00CA098C" w:rsidRPr="009A09FE">
        <w:t>nt respectées</w:t>
      </w:r>
      <w:r w:rsidR="00657091">
        <w:t>:</w:t>
      </w:r>
      <w:r w:rsidR="00AF7A7A">
        <w:t xml:space="preserve"> par exemple</w:t>
      </w:r>
      <w:r w:rsidR="00CA098C" w:rsidRPr="009A09FE">
        <w:t xml:space="preserve">, l’accès </w:t>
      </w:r>
      <w:r w:rsidR="00382236">
        <w:t xml:space="preserve">du détenu </w:t>
      </w:r>
      <w:r w:rsidR="00CA098C" w:rsidRPr="009A09FE">
        <w:t>à un avocat</w:t>
      </w:r>
      <w:r w:rsidR="00597687">
        <w:t xml:space="preserve"> et</w:t>
      </w:r>
      <w:r w:rsidR="00CA098C" w:rsidRPr="009A09FE">
        <w:t xml:space="preserve"> à un médecin indépendant</w:t>
      </w:r>
      <w:r w:rsidR="00CA098C" w:rsidRPr="00BB5048">
        <w:t xml:space="preserve">, </w:t>
      </w:r>
      <w:r w:rsidR="00382236" w:rsidRPr="00BB5048">
        <w:t>son</w:t>
      </w:r>
      <w:r w:rsidR="00AF7A7A" w:rsidRPr="00BB5048">
        <w:t xml:space="preserve"> droit </w:t>
      </w:r>
      <w:r w:rsidR="00BB5048" w:rsidRPr="00BB5048">
        <w:t xml:space="preserve">à ce </w:t>
      </w:r>
      <w:r w:rsidR="00AF7A7A" w:rsidRPr="00BB5048">
        <w:t>que les membres de s</w:t>
      </w:r>
      <w:r w:rsidR="00CA098C" w:rsidRPr="00BB5048">
        <w:t xml:space="preserve">a famille </w:t>
      </w:r>
      <w:r w:rsidR="00AF7A7A" w:rsidRPr="00BB5048">
        <w:t xml:space="preserve">soient informés de </w:t>
      </w:r>
      <w:r w:rsidR="00CA098C" w:rsidRPr="00BB5048">
        <w:t xml:space="preserve">son arrestation et </w:t>
      </w:r>
      <w:r w:rsidR="00AF7A7A" w:rsidRPr="00BB5048">
        <w:t xml:space="preserve">de </w:t>
      </w:r>
      <w:r w:rsidR="00CA098C" w:rsidRPr="00BB5048">
        <w:t>son lieu</w:t>
      </w:r>
      <w:r w:rsidR="00CA098C" w:rsidRPr="009A09FE">
        <w:t xml:space="preserve"> de détention, et </w:t>
      </w:r>
      <w:r w:rsidR="00382236">
        <w:t>s</w:t>
      </w:r>
      <w:r w:rsidR="00CA098C" w:rsidRPr="009A09FE">
        <w:t xml:space="preserve">a présentation </w:t>
      </w:r>
      <w:r w:rsidR="00AF7A7A">
        <w:t xml:space="preserve">devant </w:t>
      </w:r>
      <w:r w:rsidR="00CA098C" w:rsidRPr="009A09FE">
        <w:t xml:space="preserve">un juge. </w:t>
      </w:r>
    </w:p>
    <w:p w:rsidR="00CA098C" w:rsidRPr="009A09FE" w:rsidRDefault="00CA098C" w:rsidP="00475944">
      <w:pPr>
        <w:pStyle w:val="H23G"/>
        <w:ind w:firstLine="0"/>
        <w:jc w:val="both"/>
      </w:pPr>
      <w:r w:rsidRPr="009A09FE">
        <w:t>L’</w:t>
      </w:r>
      <w:r w:rsidR="00643C2B">
        <w:t>État</w:t>
      </w:r>
      <w:r w:rsidRPr="009A09FE">
        <w:t xml:space="preserve"> partie devrait prendre des mesures </w:t>
      </w:r>
      <w:r w:rsidR="00597687">
        <w:t>en vue</w:t>
      </w:r>
      <w:r w:rsidRPr="009A09FE">
        <w:t xml:space="preserve"> de garantir que les registres, </w:t>
      </w:r>
      <w:r w:rsidR="00597687">
        <w:t xml:space="preserve">les </w:t>
      </w:r>
      <w:r w:rsidRPr="009A09FE">
        <w:t>procès-verbaux et tous les documents officiels relatifs à l’arrestation et à la détention des personnes so</w:t>
      </w:r>
      <w:r w:rsidR="00677E3E">
        <w:t>ie</w:t>
      </w:r>
      <w:r w:rsidRPr="009A09FE">
        <w:t xml:space="preserve">nt tenus avec </w:t>
      </w:r>
      <w:r w:rsidRPr="00B33BDA">
        <w:t xml:space="preserve">la plus </w:t>
      </w:r>
      <w:r w:rsidR="00B33BDA" w:rsidRPr="00B33BDA">
        <w:t>grande</w:t>
      </w:r>
      <w:r w:rsidRPr="00B33BDA">
        <w:t xml:space="preserve"> </w:t>
      </w:r>
      <w:r w:rsidR="00597687" w:rsidRPr="00B33BDA">
        <w:t>rigueur</w:t>
      </w:r>
      <w:r w:rsidR="00597687" w:rsidRPr="009A09FE">
        <w:t xml:space="preserve"> </w:t>
      </w:r>
      <w:r w:rsidRPr="009A09FE">
        <w:t xml:space="preserve">et que tous les éléments </w:t>
      </w:r>
      <w:r w:rsidR="00966E19">
        <w:t>se rapportant</w:t>
      </w:r>
      <w:r w:rsidRPr="009A09FE">
        <w:t xml:space="preserve"> à l’arrestation et à la détention y so</w:t>
      </w:r>
      <w:r w:rsidR="00677E3E">
        <w:t>ie</w:t>
      </w:r>
      <w:r w:rsidRPr="009A09FE">
        <w:t>nt consignés et attestés à la fois par les officiers de police judiciaire et par l</w:t>
      </w:r>
      <w:r w:rsidR="00966E19">
        <w:t>a personne concernée</w:t>
      </w:r>
      <w:r w:rsidRPr="009A09FE">
        <w:t>. L’</w:t>
      </w:r>
      <w:r w:rsidR="00643C2B">
        <w:t>État</w:t>
      </w:r>
      <w:r w:rsidRPr="009A09FE">
        <w:t xml:space="preserve"> partie devrait s’assurer que des enquêtes approfondies, impartiales et efficaces </w:t>
      </w:r>
      <w:r w:rsidR="001B074A">
        <w:t>so</w:t>
      </w:r>
      <w:r w:rsidR="00677E3E">
        <w:t>ie</w:t>
      </w:r>
      <w:r w:rsidR="001B074A">
        <w:t>nt</w:t>
      </w:r>
      <w:r w:rsidRPr="009A09FE">
        <w:t xml:space="preserve"> menées rapidement sur toutes les allégations d’arrestation et de détention arbitraires et les responsables éventuels</w:t>
      </w:r>
      <w:r w:rsidR="00287FB4" w:rsidRPr="00287FB4">
        <w:t xml:space="preserve"> </w:t>
      </w:r>
      <w:r w:rsidR="00287FB4" w:rsidRPr="009A09FE">
        <w:t>tradui</w:t>
      </w:r>
      <w:r w:rsidR="00287FB4">
        <w:t xml:space="preserve">ts </w:t>
      </w:r>
      <w:r w:rsidR="00287FB4" w:rsidRPr="009A09FE">
        <w:t>en justice</w:t>
      </w:r>
      <w:r w:rsidRPr="009A09FE">
        <w:t xml:space="preserve">. </w:t>
      </w:r>
    </w:p>
    <w:p w:rsidR="009A09FE" w:rsidRPr="009A09FE" w:rsidRDefault="00CA098C" w:rsidP="005E2608">
      <w:pPr>
        <w:pStyle w:val="H23G"/>
        <w:jc w:val="both"/>
      </w:pPr>
      <w:r>
        <w:rPr>
          <w:lang w:eastAsia="en-GB"/>
        </w:rPr>
        <w:tab/>
      </w:r>
      <w:r>
        <w:rPr>
          <w:lang w:eastAsia="en-GB"/>
        </w:rPr>
        <w:tab/>
      </w:r>
      <w:r w:rsidR="009A09FE" w:rsidRPr="009A09FE">
        <w:rPr>
          <w:lang w:eastAsia="en-GB"/>
        </w:rPr>
        <w:t xml:space="preserve">L’État partie devrait faire en sorte que nul ne soit gardé dans un centre de détention secret placé </w:t>
      </w:r>
      <w:r w:rsidR="009A09FE" w:rsidRPr="00643C2B">
        <w:rPr>
          <w:iCs/>
          <w:lang w:eastAsia="en-GB"/>
        </w:rPr>
        <w:t>de facto</w:t>
      </w:r>
      <w:r w:rsidR="00F609A4" w:rsidRPr="00F609A4">
        <w:rPr>
          <w:lang w:eastAsia="en-GB"/>
        </w:rPr>
        <w:t xml:space="preserve"> </w:t>
      </w:r>
      <w:r w:rsidR="00F609A4" w:rsidRPr="009A09FE">
        <w:rPr>
          <w:lang w:eastAsia="en-GB"/>
        </w:rPr>
        <w:t>sous son contrôle effectif</w:t>
      </w:r>
      <w:r w:rsidR="009A09FE" w:rsidRPr="009A09FE">
        <w:rPr>
          <w:lang w:eastAsia="en-GB"/>
        </w:rPr>
        <w:t>. Comme l’a souvent souligné</w:t>
      </w:r>
      <w:r w:rsidR="00F609A4" w:rsidRPr="00F609A4">
        <w:rPr>
          <w:lang w:eastAsia="en-GB"/>
        </w:rPr>
        <w:t xml:space="preserve"> </w:t>
      </w:r>
      <w:r w:rsidR="00F609A4" w:rsidRPr="009A09FE">
        <w:rPr>
          <w:lang w:eastAsia="en-GB"/>
        </w:rPr>
        <w:t>le Comité</w:t>
      </w:r>
      <w:r w:rsidR="009A09FE" w:rsidRPr="009A09FE">
        <w:rPr>
          <w:lang w:eastAsia="en-GB"/>
        </w:rPr>
        <w:t>, la détention de</w:t>
      </w:r>
      <w:r w:rsidR="00F609A4">
        <w:rPr>
          <w:lang w:eastAsia="en-GB"/>
        </w:rPr>
        <w:t>s</w:t>
      </w:r>
      <w:r w:rsidR="009A09FE" w:rsidRPr="009A09FE">
        <w:rPr>
          <w:lang w:eastAsia="en-GB"/>
        </w:rPr>
        <w:t xml:space="preserve"> personnes dans de telles conditions constitue une violation de la Convention. L’État partie devrait ouvrir une enquête impartiale et efficace sur l’existence de tels lieux de détention.</w:t>
      </w:r>
      <w:r w:rsidR="00EF474A">
        <w:rPr>
          <w:lang w:eastAsia="en-GB"/>
        </w:rPr>
        <w:t xml:space="preserve"> Tous les lieux de détention </w:t>
      </w:r>
      <w:r w:rsidR="00DF6F48">
        <w:rPr>
          <w:lang w:eastAsia="en-GB"/>
        </w:rPr>
        <w:t>d</w:t>
      </w:r>
      <w:r w:rsidR="005E2608">
        <w:rPr>
          <w:lang w:eastAsia="en-GB"/>
        </w:rPr>
        <w:t xml:space="preserve">evraient </w:t>
      </w:r>
      <w:r w:rsidR="00DF6F48">
        <w:rPr>
          <w:lang w:eastAsia="en-GB"/>
        </w:rPr>
        <w:t xml:space="preserve">être </w:t>
      </w:r>
      <w:r w:rsidR="00EF474A" w:rsidRPr="009A09FE">
        <w:rPr>
          <w:lang w:eastAsia="en-GB"/>
        </w:rPr>
        <w:t xml:space="preserve">soumis </w:t>
      </w:r>
      <w:r w:rsidR="00EF474A">
        <w:rPr>
          <w:lang w:eastAsia="en-GB"/>
        </w:rPr>
        <w:t>à un</w:t>
      </w:r>
      <w:r w:rsidR="00EF474A" w:rsidRPr="009A09FE">
        <w:rPr>
          <w:lang w:eastAsia="en-GB"/>
        </w:rPr>
        <w:t xml:space="preserve"> système régulier de contrôle et de surveillance</w:t>
      </w:r>
      <w:r w:rsidR="00EF474A">
        <w:rPr>
          <w:lang w:eastAsia="en-GB"/>
        </w:rPr>
        <w:t>.</w:t>
      </w:r>
    </w:p>
    <w:p w:rsidR="009A09FE" w:rsidRPr="009A09FE" w:rsidRDefault="00060CB5" w:rsidP="00E44BBF">
      <w:pPr>
        <w:pStyle w:val="H23G"/>
        <w:jc w:val="both"/>
        <w:rPr>
          <w:lang w:eastAsia="en-GB"/>
        </w:rPr>
      </w:pPr>
      <w:r>
        <w:rPr>
          <w:lang w:eastAsia="en-GB"/>
        </w:rPr>
        <w:tab/>
      </w:r>
      <w:r>
        <w:rPr>
          <w:lang w:eastAsia="en-GB"/>
        </w:rPr>
        <w:tab/>
      </w:r>
      <w:r w:rsidR="009A09FE" w:rsidRPr="009A09FE">
        <w:rPr>
          <w:lang w:eastAsia="en-GB"/>
        </w:rPr>
        <w:t xml:space="preserve">Poursuite </w:t>
      </w:r>
      <w:r w:rsidR="00F56CC6">
        <w:rPr>
          <w:lang w:eastAsia="en-GB"/>
        </w:rPr>
        <w:t>l</w:t>
      </w:r>
      <w:r w:rsidR="009A09FE" w:rsidRPr="009A09FE">
        <w:rPr>
          <w:lang w:eastAsia="en-GB"/>
        </w:rPr>
        <w:t>es auteurs d’actes de torture et de mauvais traitements</w:t>
      </w:r>
    </w:p>
    <w:p w:rsidR="009A09FE" w:rsidRPr="006F4630" w:rsidRDefault="009A09FE" w:rsidP="001D3A2B">
      <w:pPr>
        <w:pStyle w:val="SingleTxtG"/>
        <w:rPr>
          <w:lang w:eastAsia="en-GB"/>
        </w:rPr>
      </w:pPr>
      <w:r w:rsidRPr="00C23F7C">
        <w:rPr>
          <w:lang w:eastAsia="en-GB"/>
        </w:rPr>
        <w:t>1</w:t>
      </w:r>
      <w:r w:rsidR="0029211D" w:rsidRPr="00C23F7C">
        <w:rPr>
          <w:lang w:eastAsia="en-GB"/>
        </w:rPr>
        <w:t>6</w:t>
      </w:r>
      <w:r w:rsidR="00373D9E">
        <w:rPr>
          <w:lang w:eastAsia="en-GB"/>
        </w:rPr>
        <w:t>.</w:t>
      </w:r>
      <w:r w:rsidRPr="00C23F7C">
        <w:rPr>
          <w:lang w:eastAsia="en-GB"/>
        </w:rPr>
        <w:tab/>
      </w:r>
      <w:r w:rsidR="00EF474A" w:rsidRPr="00C23F7C">
        <w:rPr>
          <w:lang w:eastAsia="en-GB"/>
        </w:rPr>
        <w:t xml:space="preserve">Le Comité est particulièrement préoccupé par le fait </w:t>
      </w:r>
      <w:r w:rsidR="00F56CC6" w:rsidRPr="00C23F7C">
        <w:rPr>
          <w:lang w:eastAsia="en-GB"/>
        </w:rPr>
        <w:t xml:space="preserve">de n’avoir reçu </w:t>
      </w:r>
      <w:r w:rsidR="00EF474A" w:rsidRPr="00C23F7C">
        <w:rPr>
          <w:lang w:eastAsia="en-GB"/>
        </w:rPr>
        <w:t>à ce jour</w:t>
      </w:r>
      <w:r w:rsidR="00F56CC6" w:rsidRPr="00C23F7C">
        <w:rPr>
          <w:lang w:eastAsia="en-GB"/>
        </w:rPr>
        <w:t xml:space="preserve"> </w:t>
      </w:r>
      <w:r w:rsidR="00EF474A" w:rsidRPr="00C23F7C">
        <w:rPr>
          <w:lang w:eastAsia="en-GB"/>
        </w:rPr>
        <w:t>aucun</w:t>
      </w:r>
      <w:r w:rsidR="00F56CC6" w:rsidRPr="00C23F7C">
        <w:rPr>
          <w:lang w:eastAsia="en-GB"/>
        </w:rPr>
        <w:t>e</w:t>
      </w:r>
      <w:r w:rsidR="00EF474A" w:rsidRPr="00C23F7C">
        <w:rPr>
          <w:lang w:eastAsia="en-GB"/>
        </w:rPr>
        <w:t xml:space="preserve"> information </w:t>
      </w:r>
      <w:r w:rsidR="00484943" w:rsidRPr="00C23F7C">
        <w:rPr>
          <w:lang w:eastAsia="en-GB"/>
        </w:rPr>
        <w:t>faisant état de</w:t>
      </w:r>
      <w:r w:rsidR="00411B2B" w:rsidRPr="00C23F7C">
        <w:rPr>
          <w:lang w:eastAsia="en-GB"/>
        </w:rPr>
        <w:t xml:space="preserve"> la condamnation d</w:t>
      </w:r>
      <w:r w:rsidR="001F655D">
        <w:rPr>
          <w:lang w:eastAsia="en-GB"/>
        </w:rPr>
        <w:t>’une</w:t>
      </w:r>
      <w:r w:rsidR="00EF474A" w:rsidRPr="00C23F7C">
        <w:rPr>
          <w:lang w:eastAsia="en-GB"/>
        </w:rPr>
        <w:t xml:space="preserve"> </w:t>
      </w:r>
      <w:r w:rsidR="00C23F7C">
        <w:rPr>
          <w:lang w:eastAsia="en-GB"/>
        </w:rPr>
        <w:t>personne</w:t>
      </w:r>
      <w:r w:rsidR="00EF474A" w:rsidRPr="00C23F7C">
        <w:rPr>
          <w:lang w:eastAsia="en-GB"/>
        </w:rPr>
        <w:t xml:space="preserve"> </w:t>
      </w:r>
      <w:r w:rsidR="00411B2B" w:rsidRPr="00C23F7C">
        <w:rPr>
          <w:lang w:eastAsia="en-GB"/>
        </w:rPr>
        <w:t>convaincu</w:t>
      </w:r>
      <w:r w:rsidR="00C23F7C">
        <w:rPr>
          <w:lang w:eastAsia="en-GB"/>
        </w:rPr>
        <w:t>e</w:t>
      </w:r>
      <w:r w:rsidR="00411B2B" w:rsidRPr="00C23F7C">
        <w:rPr>
          <w:lang w:eastAsia="en-GB"/>
        </w:rPr>
        <w:t xml:space="preserve"> d’actes de</w:t>
      </w:r>
      <w:r w:rsidR="00EF474A" w:rsidRPr="00C23F7C">
        <w:rPr>
          <w:lang w:eastAsia="en-GB"/>
        </w:rPr>
        <w:t xml:space="preserve"> torture au titre de l’article 231-1 du Code pénal. Le Comité note avec préoccupation que les officiers de police sont </w:t>
      </w:r>
      <w:r w:rsidR="00411B2B" w:rsidRPr="00C23F7C">
        <w:rPr>
          <w:lang w:eastAsia="en-GB"/>
        </w:rPr>
        <w:t>dans le meilleur des cas</w:t>
      </w:r>
      <w:r w:rsidR="00EF474A" w:rsidRPr="00C23F7C">
        <w:rPr>
          <w:lang w:eastAsia="en-GB"/>
        </w:rPr>
        <w:t xml:space="preserve"> poursuivis pour violence</w:t>
      </w:r>
      <w:r w:rsidR="00411B2B" w:rsidRPr="00C23F7C">
        <w:rPr>
          <w:lang w:eastAsia="en-GB"/>
        </w:rPr>
        <w:t>s</w:t>
      </w:r>
      <w:r w:rsidR="00EF474A" w:rsidRPr="00C23F7C">
        <w:rPr>
          <w:lang w:eastAsia="en-GB"/>
        </w:rPr>
        <w:t xml:space="preserve"> ou coups et blessures, et non pour </w:t>
      </w:r>
      <w:r w:rsidR="001F7784">
        <w:rPr>
          <w:lang w:eastAsia="en-GB"/>
        </w:rPr>
        <w:t xml:space="preserve">le </w:t>
      </w:r>
      <w:r w:rsidR="00EF474A" w:rsidRPr="00C23F7C">
        <w:rPr>
          <w:lang w:eastAsia="en-GB"/>
        </w:rPr>
        <w:t>crime de torture, et que selon les données fournies par l’</w:t>
      </w:r>
      <w:r w:rsidR="00643C2B" w:rsidRPr="00C23F7C">
        <w:rPr>
          <w:lang w:eastAsia="en-GB"/>
        </w:rPr>
        <w:t>État</w:t>
      </w:r>
      <w:r w:rsidR="00EF474A" w:rsidRPr="00C23F7C">
        <w:rPr>
          <w:lang w:eastAsia="en-GB"/>
        </w:rPr>
        <w:t xml:space="preserve"> partie, les sanctions administratives et disciplinaires </w:t>
      </w:r>
      <w:r w:rsidR="001F7784">
        <w:rPr>
          <w:lang w:eastAsia="en-GB"/>
        </w:rPr>
        <w:t xml:space="preserve">prises </w:t>
      </w:r>
      <w:r w:rsidR="00EF474A" w:rsidRPr="00C23F7C">
        <w:rPr>
          <w:lang w:eastAsia="en-GB"/>
        </w:rPr>
        <w:t>à l’</w:t>
      </w:r>
      <w:r w:rsidR="001F7784">
        <w:rPr>
          <w:lang w:eastAsia="en-GB"/>
        </w:rPr>
        <w:t xml:space="preserve">endroit </w:t>
      </w:r>
      <w:r w:rsidR="00EF474A" w:rsidRPr="00C23F7C">
        <w:rPr>
          <w:lang w:eastAsia="en-GB"/>
        </w:rPr>
        <w:t>des officiers concernés ne semblent pas</w:t>
      </w:r>
      <w:r w:rsidR="00411B2B" w:rsidRPr="00C23F7C">
        <w:rPr>
          <w:lang w:eastAsia="en-GB"/>
        </w:rPr>
        <w:t xml:space="preserve"> proportionnées</w:t>
      </w:r>
      <w:r w:rsidR="00EF474A" w:rsidRPr="00C23F7C">
        <w:rPr>
          <w:lang w:eastAsia="en-GB"/>
        </w:rPr>
        <w:t xml:space="preserve"> à la gravité des actes commis. </w:t>
      </w:r>
      <w:r w:rsidRPr="00C23F7C">
        <w:rPr>
          <w:lang w:eastAsia="en-GB"/>
        </w:rPr>
        <w:t xml:space="preserve">Le Comité note avec préoccupation que les allégations de torture, pourtant nombreuses et fréquentes, </w:t>
      </w:r>
      <w:r w:rsidR="00816A4E" w:rsidRPr="00C23F7C">
        <w:rPr>
          <w:lang w:eastAsia="en-GB"/>
        </w:rPr>
        <w:t xml:space="preserve">font </w:t>
      </w:r>
      <w:r w:rsidRPr="00C23F7C">
        <w:rPr>
          <w:lang w:eastAsia="en-GB"/>
        </w:rPr>
        <w:t>rarement l</w:t>
      </w:r>
      <w:r w:rsidR="00816A4E" w:rsidRPr="00C23F7C">
        <w:rPr>
          <w:lang w:eastAsia="en-GB"/>
        </w:rPr>
        <w:t xml:space="preserve">’objet </w:t>
      </w:r>
      <w:r w:rsidRPr="00C23F7C">
        <w:rPr>
          <w:lang w:eastAsia="en-GB"/>
        </w:rPr>
        <w:t>d</w:t>
      </w:r>
      <w:r w:rsidR="00816A4E" w:rsidRPr="00C23F7C">
        <w:rPr>
          <w:lang w:eastAsia="en-GB"/>
        </w:rPr>
        <w:t>’</w:t>
      </w:r>
      <w:r w:rsidRPr="00C23F7C">
        <w:rPr>
          <w:lang w:eastAsia="en-GB"/>
        </w:rPr>
        <w:t>enquêtes et de poursuites et qu’un climat d’impunité semble</w:t>
      </w:r>
      <w:r w:rsidR="00816A4E" w:rsidRPr="00C23F7C">
        <w:rPr>
          <w:lang w:eastAsia="en-GB"/>
        </w:rPr>
        <w:t xml:space="preserve"> s’être </w:t>
      </w:r>
      <w:r w:rsidRPr="00C23F7C">
        <w:rPr>
          <w:lang w:eastAsia="en-GB"/>
        </w:rPr>
        <w:t xml:space="preserve">instauré en </w:t>
      </w:r>
      <w:r w:rsidR="001D3A2B">
        <w:rPr>
          <w:lang w:eastAsia="en-GB"/>
        </w:rPr>
        <w:t xml:space="preserve">raison de </w:t>
      </w:r>
      <w:r w:rsidRPr="00C23F7C">
        <w:rPr>
          <w:lang w:eastAsia="en-GB"/>
        </w:rPr>
        <w:t xml:space="preserve">l’absence de véritables mesures disciplinaires et </w:t>
      </w:r>
      <w:r w:rsidR="00816A4E" w:rsidRPr="00C23F7C">
        <w:rPr>
          <w:lang w:eastAsia="en-GB"/>
        </w:rPr>
        <w:t xml:space="preserve">de </w:t>
      </w:r>
      <w:r w:rsidRPr="00C23F7C">
        <w:rPr>
          <w:lang w:eastAsia="en-GB"/>
        </w:rPr>
        <w:t>poursuites pénales significatives contre les agents de l’État accusés d</w:t>
      </w:r>
      <w:r w:rsidR="00816A4E" w:rsidRPr="00C23F7C">
        <w:rPr>
          <w:lang w:eastAsia="en-GB"/>
        </w:rPr>
        <w:t xml:space="preserve">es </w:t>
      </w:r>
      <w:r w:rsidRPr="00C23F7C">
        <w:rPr>
          <w:lang w:eastAsia="en-GB"/>
        </w:rPr>
        <w:t xml:space="preserve">actes visés dans la Convention, y compris </w:t>
      </w:r>
      <w:r w:rsidR="00816A4E" w:rsidRPr="00C23F7C">
        <w:rPr>
          <w:lang w:eastAsia="en-GB"/>
        </w:rPr>
        <w:t>l</w:t>
      </w:r>
      <w:r w:rsidRPr="00C23F7C">
        <w:rPr>
          <w:lang w:eastAsia="en-GB"/>
        </w:rPr>
        <w:t xml:space="preserve">es auteurs des violations graves et massives </w:t>
      </w:r>
      <w:r w:rsidR="00B75936" w:rsidRPr="00C23F7C">
        <w:rPr>
          <w:lang w:eastAsia="en-GB"/>
        </w:rPr>
        <w:t xml:space="preserve">des </w:t>
      </w:r>
      <w:r w:rsidRPr="00C23F7C">
        <w:rPr>
          <w:lang w:eastAsia="en-GB"/>
        </w:rPr>
        <w:t xml:space="preserve">droits de l’homme </w:t>
      </w:r>
      <w:r w:rsidR="00B75936" w:rsidRPr="00C23F7C">
        <w:rPr>
          <w:lang w:eastAsia="en-GB"/>
        </w:rPr>
        <w:t xml:space="preserve">intervenues </w:t>
      </w:r>
      <w:r w:rsidRPr="00C23F7C">
        <w:rPr>
          <w:lang w:eastAsia="en-GB"/>
        </w:rPr>
        <w:t>entre 1956 et 1999 (art. 2, 4 et 12)</w:t>
      </w:r>
      <w:r w:rsidR="00130B3A" w:rsidRPr="00C23F7C">
        <w:rPr>
          <w:lang w:eastAsia="en-GB"/>
        </w:rPr>
        <w:t>.</w:t>
      </w:r>
    </w:p>
    <w:p w:rsidR="00310C0D" w:rsidRPr="009A09FE" w:rsidRDefault="00E56440" w:rsidP="00A577F6">
      <w:pPr>
        <w:pStyle w:val="H23G"/>
        <w:jc w:val="both"/>
        <w:rPr>
          <w:bCs/>
          <w:lang w:eastAsia="en-GB"/>
        </w:rPr>
      </w:pPr>
      <w:r>
        <w:rPr>
          <w:lang w:eastAsia="en-GB"/>
        </w:rPr>
        <w:tab/>
      </w:r>
      <w:r>
        <w:rPr>
          <w:lang w:eastAsia="en-GB"/>
        </w:rPr>
        <w:tab/>
      </w:r>
      <w:r w:rsidR="009A09FE" w:rsidRPr="009A09FE">
        <w:rPr>
          <w:lang w:eastAsia="en-GB"/>
        </w:rPr>
        <w:t xml:space="preserve">L’État partie devrait faire en sorte que toutes les allégations de torture et de mauvais traitements fassent rapidement l’objet d’une enquête efficace et impartiale et que les auteurs soient poursuivis et condamnés à des peines </w:t>
      </w:r>
      <w:r w:rsidR="00C212C3">
        <w:rPr>
          <w:lang w:eastAsia="en-GB"/>
        </w:rPr>
        <w:t xml:space="preserve">proportionnées </w:t>
      </w:r>
      <w:r w:rsidR="009A09FE" w:rsidRPr="009A09FE">
        <w:rPr>
          <w:lang w:eastAsia="en-GB"/>
        </w:rPr>
        <w:t>à la gravité de leurs actes</w:t>
      </w:r>
      <w:r w:rsidR="00A577F6">
        <w:rPr>
          <w:lang w:eastAsia="en-GB"/>
        </w:rPr>
        <w:t>,</w:t>
      </w:r>
      <w:r w:rsidR="009A09FE" w:rsidRPr="009A09FE">
        <w:rPr>
          <w:lang w:eastAsia="en-GB"/>
        </w:rPr>
        <w:t xml:space="preserve"> comme le requiert l’article 4 de la Convention. En outre, l’État partie devrait modifier sa législation </w:t>
      </w:r>
      <w:r w:rsidR="00A577F6">
        <w:rPr>
          <w:lang w:eastAsia="en-GB"/>
        </w:rPr>
        <w:t>de sorte que celle-ci stipule</w:t>
      </w:r>
      <w:r w:rsidR="009A09FE" w:rsidRPr="009A09FE">
        <w:rPr>
          <w:lang w:eastAsia="en-GB"/>
        </w:rPr>
        <w:t xml:space="preserve"> explicitement que l’ordre d’un supérieur ou d’une autorité publique ne </w:t>
      </w:r>
      <w:r w:rsidR="00A577F6">
        <w:rPr>
          <w:lang w:eastAsia="en-GB"/>
        </w:rPr>
        <w:t>saurait</w:t>
      </w:r>
      <w:r w:rsidR="00A577F6" w:rsidRPr="009A09FE">
        <w:rPr>
          <w:lang w:eastAsia="en-GB"/>
        </w:rPr>
        <w:t xml:space="preserve"> </w:t>
      </w:r>
      <w:r w:rsidR="009A09FE" w:rsidRPr="009A09FE">
        <w:rPr>
          <w:lang w:eastAsia="en-GB"/>
        </w:rPr>
        <w:t>être invoqué pour justifier la torture.</w:t>
      </w:r>
      <w:r w:rsidR="00310C0D">
        <w:rPr>
          <w:lang w:eastAsia="en-GB"/>
        </w:rPr>
        <w:t xml:space="preserve"> </w:t>
      </w:r>
      <w:r w:rsidR="00310C0D" w:rsidRPr="009A09FE">
        <w:t>L’</w:t>
      </w:r>
      <w:r w:rsidR="00643C2B">
        <w:t>État</w:t>
      </w:r>
      <w:r w:rsidR="00310C0D" w:rsidRPr="009A09FE">
        <w:t xml:space="preserve"> partie devrait également veiller à ce que</w:t>
      </w:r>
      <w:r w:rsidR="0065344E">
        <w:t>,</w:t>
      </w:r>
      <w:r w:rsidR="00310C0D" w:rsidRPr="009A09FE">
        <w:t xml:space="preserve"> dans la pratique, les plaignants et les témoins soient protégés contre tout mauvais traitement et tout acte d’intimidation lié</w:t>
      </w:r>
      <w:r w:rsidR="0065344E">
        <w:t>s</w:t>
      </w:r>
      <w:r w:rsidR="00310C0D" w:rsidRPr="009A09FE">
        <w:t xml:space="preserve"> à leur plainte ou à leur témoignage.</w:t>
      </w:r>
    </w:p>
    <w:p w:rsidR="009A09FE" w:rsidRPr="009A09FE" w:rsidRDefault="00E56440" w:rsidP="00130B3A">
      <w:pPr>
        <w:pStyle w:val="H23G"/>
        <w:jc w:val="both"/>
      </w:pPr>
      <w:r>
        <w:tab/>
      </w:r>
      <w:r>
        <w:tab/>
      </w:r>
      <w:r w:rsidR="009A09FE" w:rsidRPr="009A09FE">
        <w:t>Aveux sous la contrainte</w:t>
      </w:r>
    </w:p>
    <w:p w:rsidR="009A09FE" w:rsidRPr="006F4630" w:rsidRDefault="00E968A2" w:rsidP="00BB5048">
      <w:pPr>
        <w:pStyle w:val="SingleTxtG"/>
      </w:pPr>
      <w:r>
        <w:t>1</w:t>
      </w:r>
      <w:r w:rsidR="0029211D">
        <w:t>7</w:t>
      </w:r>
      <w:r w:rsidR="00373D9E">
        <w:t>.</w:t>
      </w:r>
      <w:r w:rsidR="009A09FE">
        <w:tab/>
      </w:r>
      <w:r w:rsidR="009A09FE" w:rsidRPr="007D728E">
        <w:t xml:space="preserve">Le </w:t>
      </w:r>
      <w:r w:rsidR="009A09FE" w:rsidRPr="00BB5048">
        <w:t>Comité est préoccupé par</w:t>
      </w:r>
      <w:r w:rsidR="00440044" w:rsidRPr="00BB5048">
        <w:t xml:space="preserve"> le fait</w:t>
      </w:r>
      <w:r w:rsidR="009A09FE" w:rsidRPr="00BB5048">
        <w:t xml:space="preserve"> </w:t>
      </w:r>
      <w:r w:rsidR="00440044" w:rsidRPr="00BB5048">
        <w:t>que dans le système d’investigation en vigueur dans l’État partie il est extrêmement courant qu</w:t>
      </w:r>
      <w:r w:rsidR="009A09FE" w:rsidRPr="00BB5048">
        <w:t xml:space="preserve">e </w:t>
      </w:r>
      <w:r w:rsidR="00440044" w:rsidRPr="00BB5048">
        <w:t xml:space="preserve">l’aveu constitue une preuve </w:t>
      </w:r>
      <w:r w:rsidR="00080B41" w:rsidRPr="00BB5048">
        <w:t>permettant de</w:t>
      </w:r>
      <w:r w:rsidR="00E31656" w:rsidRPr="00BB5048">
        <w:t xml:space="preserve"> </w:t>
      </w:r>
      <w:r w:rsidR="009A09FE" w:rsidRPr="00BB5048">
        <w:t>poursui</w:t>
      </w:r>
      <w:r w:rsidR="00440044" w:rsidRPr="00BB5048">
        <w:t>vre</w:t>
      </w:r>
      <w:r w:rsidR="00BB5048">
        <w:t xml:space="preserve"> et condamner une personne</w:t>
      </w:r>
      <w:r w:rsidR="0065344E">
        <w:t xml:space="preserve">. Il est préoccupé de constater que </w:t>
      </w:r>
      <w:r w:rsidR="009A09FE">
        <w:t>de nombreuses condamnations pénales</w:t>
      </w:r>
      <w:r w:rsidR="0065344E">
        <w:t xml:space="preserve"> sont fondées sur les aveux</w:t>
      </w:r>
      <w:r w:rsidR="009A09FE">
        <w:t>, y compris dans le</w:t>
      </w:r>
      <w:r w:rsidR="008438CB">
        <w:t>s</w:t>
      </w:r>
      <w:r w:rsidR="009A09FE">
        <w:t xml:space="preserve"> affaires de terrorisme</w:t>
      </w:r>
      <w:r w:rsidR="009A09FE" w:rsidRPr="007D728E">
        <w:t>, cré</w:t>
      </w:r>
      <w:r w:rsidR="002A07E6">
        <w:t>ant ainsi</w:t>
      </w:r>
      <w:r w:rsidR="00E31656">
        <w:t xml:space="preserve"> </w:t>
      </w:r>
      <w:r w:rsidR="009A09FE" w:rsidRPr="007D728E">
        <w:t xml:space="preserve">des conditions </w:t>
      </w:r>
      <w:r w:rsidR="002A07E6">
        <w:t>susceptibles de</w:t>
      </w:r>
      <w:r w:rsidR="009A09FE" w:rsidRPr="007D728E">
        <w:t xml:space="preserve"> favoriser l’</w:t>
      </w:r>
      <w:r w:rsidR="00D210ED">
        <w:t xml:space="preserve">emploi </w:t>
      </w:r>
      <w:r w:rsidR="009A09FE" w:rsidRPr="007D728E">
        <w:t xml:space="preserve">de la torture et des mauvais traitements </w:t>
      </w:r>
      <w:r w:rsidR="00A5066D">
        <w:t xml:space="preserve">à l’encontre de </w:t>
      </w:r>
      <w:r w:rsidR="009A09FE">
        <w:t>la personne du suspect</w:t>
      </w:r>
      <w:r w:rsidR="009A09FE" w:rsidRPr="007D728E">
        <w:t xml:space="preserve"> (art. </w:t>
      </w:r>
      <w:r w:rsidR="009A09FE">
        <w:t>2 et</w:t>
      </w:r>
      <w:r w:rsidR="00D210ED">
        <w:t xml:space="preserve"> </w:t>
      </w:r>
      <w:r w:rsidR="009A09FE">
        <w:t>15).</w:t>
      </w:r>
    </w:p>
    <w:p w:rsidR="009A09FE" w:rsidRPr="009A09FE" w:rsidRDefault="00E56440" w:rsidP="00D64316">
      <w:pPr>
        <w:pStyle w:val="H23G"/>
        <w:jc w:val="both"/>
      </w:pPr>
      <w:r>
        <w:tab/>
      </w:r>
      <w:r>
        <w:tab/>
      </w:r>
      <w:r w:rsidR="009A09FE" w:rsidRPr="009A09FE">
        <w:t xml:space="preserve">L’État partie devrait prendre </w:t>
      </w:r>
      <w:r w:rsidR="006F4DF5">
        <w:t>toutes</w:t>
      </w:r>
      <w:r w:rsidR="006F4DF5" w:rsidRPr="009A09FE">
        <w:t xml:space="preserve"> </w:t>
      </w:r>
      <w:r w:rsidR="009A09FE" w:rsidRPr="009A09FE">
        <w:t xml:space="preserve">mesures nécessaires pour </w:t>
      </w:r>
      <w:r w:rsidR="009A09FE" w:rsidRPr="006F4DF5">
        <w:t>garantir</w:t>
      </w:r>
      <w:r w:rsidR="009A09FE" w:rsidRPr="009A09FE">
        <w:t xml:space="preserve"> que les condamnations pénales so</w:t>
      </w:r>
      <w:r w:rsidR="00D64316">
        <w:t>ie</w:t>
      </w:r>
      <w:r w:rsidR="009A09FE" w:rsidRPr="009A09FE">
        <w:t>nt prononcées sur la foi de preuves autres que les aveux de l’inculpé</w:t>
      </w:r>
      <w:r w:rsidR="00310C0D">
        <w:t>, notamment lorsque l’inculpé revient sur ses aveux durant le procès,</w:t>
      </w:r>
      <w:r w:rsidR="009A09FE" w:rsidRPr="009A09FE">
        <w:t xml:space="preserve"> et que les déclarations faites sous la torture ne so</w:t>
      </w:r>
      <w:r w:rsidR="00D64316">
        <w:t>ie</w:t>
      </w:r>
      <w:r w:rsidR="009A09FE" w:rsidRPr="009A09FE">
        <w:t>nt pas invoquées comme élément</w:t>
      </w:r>
      <w:r w:rsidR="005B451E">
        <w:t>s</w:t>
      </w:r>
      <w:r w:rsidR="009A09FE" w:rsidRPr="009A09FE">
        <w:t xml:space="preserve"> de preuve </w:t>
      </w:r>
      <w:r w:rsidR="005B451E">
        <w:t xml:space="preserve">au cours de la </w:t>
      </w:r>
      <w:r w:rsidR="009A09FE" w:rsidRPr="009A09FE">
        <w:t>procédure, si ce n’est contre la personne accusée de torture, conformément aux dispositions de la Convention.</w:t>
      </w:r>
    </w:p>
    <w:p w:rsidR="009A09FE" w:rsidRDefault="00E56440" w:rsidP="00867876">
      <w:pPr>
        <w:pStyle w:val="H23G"/>
        <w:jc w:val="both"/>
      </w:pPr>
      <w:r>
        <w:tab/>
      </w:r>
      <w:r>
        <w:tab/>
      </w:r>
      <w:r w:rsidR="009A09FE" w:rsidRPr="009A09FE">
        <w:t xml:space="preserve">L’État partie est </w:t>
      </w:r>
      <w:r w:rsidR="00295CBE">
        <w:t>invité</w:t>
      </w:r>
      <w:r w:rsidR="00295CBE" w:rsidRPr="009A09FE">
        <w:t xml:space="preserve"> </w:t>
      </w:r>
      <w:r w:rsidR="009A09FE" w:rsidRPr="009A09FE">
        <w:t xml:space="preserve">à </w:t>
      </w:r>
      <w:r w:rsidR="00867876">
        <w:t>examiner</w:t>
      </w:r>
      <w:r w:rsidR="009A09FE" w:rsidRPr="009A09FE">
        <w:t xml:space="preserve"> les condamnations pénales prononcées exclusivement sur la foi d’aveux afin d’identifier dans quels </w:t>
      </w:r>
      <w:r w:rsidR="00CB72CF">
        <w:t xml:space="preserve">cas </w:t>
      </w:r>
      <w:r w:rsidR="009A09FE" w:rsidRPr="009A09FE">
        <w:t xml:space="preserve">la condamnation </w:t>
      </w:r>
      <w:r w:rsidR="00295CBE">
        <w:t>s’</w:t>
      </w:r>
      <w:r w:rsidR="009A09FE" w:rsidRPr="009A09FE">
        <w:t xml:space="preserve">est fondée sur des aveux obtenus </w:t>
      </w:r>
      <w:r w:rsidR="00295CBE">
        <w:t>sous</w:t>
      </w:r>
      <w:r w:rsidR="00295CBE" w:rsidRPr="009A09FE">
        <w:t xml:space="preserve"> </w:t>
      </w:r>
      <w:r w:rsidR="009A09FE" w:rsidRPr="009A09FE">
        <w:t xml:space="preserve">la torture ou </w:t>
      </w:r>
      <w:r w:rsidR="001E47D1" w:rsidRPr="00CB72CF">
        <w:t xml:space="preserve">par </w:t>
      </w:r>
      <w:r w:rsidR="009A09FE" w:rsidRPr="00CB72CF">
        <w:t>des</w:t>
      </w:r>
      <w:r w:rsidR="009A09FE" w:rsidRPr="009A09FE">
        <w:t xml:space="preserve"> mauvais traitements</w:t>
      </w:r>
      <w:r w:rsidR="00CB72CF">
        <w:t xml:space="preserve">. Par ailleurs, il est aussi invité </w:t>
      </w:r>
      <w:r w:rsidR="009A09FE" w:rsidRPr="009A09FE">
        <w:t xml:space="preserve">à prendre </w:t>
      </w:r>
      <w:r w:rsidR="00867876">
        <w:t>toutes</w:t>
      </w:r>
      <w:r w:rsidR="009A09FE" w:rsidRPr="009A09FE">
        <w:t xml:space="preserve"> mesures correctives appropriées et à informer le Comité de ses conclusions.</w:t>
      </w:r>
    </w:p>
    <w:p w:rsidR="009A09FE" w:rsidRPr="009A09FE" w:rsidRDefault="00E56440" w:rsidP="00E44BBF">
      <w:pPr>
        <w:pStyle w:val="H23G"/>
        <w:jc w:val="both"/>
      </w:pPr>
      <w:r>
        <w:tab/>
      </w:r>
      <w:r>
        <w:tab/>
      </w:r>
      <w:r w:rsidR="009A09FE" w:rsidRPr="009A09FE">
        <w:t>Surveillance et inspection des lieux de détention</w:t>
      </w:r>
    </w:p>
    <w:p w:rsidR="009A09FE" w:rsidRPr="006F4630" w:rsidRDefault="00E968A2" w:rsidP="00B04EF1">
      <w:pPr>
        <w:pStyle w:val="SingleTxtG"/>
      </w:pPr>
      <w:r>
        <w:t>1</w:t>
      </w:r>
      <w:r w:rsidR="0029211D">
        <w:t>8</w:t>
      </w:r>
      <w:r w:rsidR="009A09FE">
        <w:t>.</w:t>
      </w:r>
      <w:r w:rsidR="009A09FE">
        <w:tab/>
      </w:r>
      <w:r w:rsidR="009A09FE" w:rsidRPr="00E10225">
        <w:t>Le Comité prend note des informations détaillées fournies par l’</w:t>
      </w:r>
      <w:r w:rsidR="00643C2B">
        <w:t>État</w:t>
      </w:r>
      <w:r w:rsidR="009A09FE" w:rsidRPr="00E10225">
        <w:t xml:space="preserve"> partie relatives aux différent</w:t>
      </w:r>
      <w:r w:rsidR="00B153D9">
        <w:t>s</w:t>
      </w:r>
      <w:r w:rsidR="009A09FE" w:rsidRPr="00E10225">
        <w:t xml:space="preserve"> types de visites des lieux de détention </w:t>
      </w:r>
      <w:r w:rsidR="00B153D9">
        <w:t xml:space="preserve">effectuées </w:t>
      </w:r>
      <w:r w:rsidR="009A09FE" w:rsidRPr="00E10225">
        <w:t xml:space="preserve">par le Procureur du Roi, les différents juges, les commissions provinciales de contrôle des prisons </w:t>
      </w:r>
      <w:r w:rsidR="00B153D9">
        <w:t>et</w:t>
      </w:r>
      <w:r w:rsidR="009A09FE" w:rsidRPr="00E10225">
        <w:t xml:space="preserve"> les représentants du Conseil </w:t>
      </w:r>
      <w:r w:rsidR="00F75116">
        <w:t>n</w:t>
      </w:r>
      <w:r w:rsidR="009A09FE" w:rsidRPr="00E10225">
        <w:t xml:space="preserve">ational des </w:t>
      </w:r>
      <w:r w:rsidR="00F75116">
        <w:t>d</w:t>
      </w:r>
      <w:r w:rsidR="009A09FE" w:rsidRPr="00E10225">
        <w:t xml:space="preserve">roits de l’homme. </w:t>
      </w:r>
      <w:r w:rsidR="009A09FE">
        <w:t xml:space="preserve">Il prend également note des projets de réforme </w:t>
      </w:r>
      <w:r w:rsidR="000D10E9">
        <w:t>pour</w:t>
      </w:r>
      <w:r w:rsidR="009A09FE">
        <w:t xml:space="preserve"> désigner le Conseil </w:t>
      </w:r>
      <w:r w:rsidR="005C626D">
        <w:t>n</w:t>
      </w:r>
      <w:r w:rsidR="009A09FE">
        <w:t xml:space="preserve">ational des </w:t>
      </w:r>
      <w:r w:rsidR="005C626D">
        <w:t>d</w:t>
      </w:r>
      <w:r w:rsidR="009A09FE">
        <w:t>roits de l’</w:t>
      </w:r>
      <w:r w:rsidR="005C626D">
        <w:t>h</w:t>
      </w:r>
      <w:r w:rsidR="009A09FE">
        <w:t xml:space="preserve">omme comme mécanisme national de prévention dans </w:t>
      </w:r>
      <w:r w:rsidR="002B2DAE">
        <w:t>la perspective</w:t>
      </w:r>
      <w:r w:rsidR="009A09FE">
        <w:t xml:space="preserve"> de l</w:t>
      </w:r>
      <w:r w:rsidR="002B2DAE">
        <w:t>’</w:t>
      </w:r>
      <w:r w:rsidR="009A09FE">
        <w:t xml:space="preserve">adhésion </w:t>
      </w:r>
      <w:r w:rsidR="002B2DAE">
        <w:t xml:space="preserve">prochaine </w:t>
      </w:r>
      <w:r w:rsidR="009A09FE">
        <w:t xml:space="preserve">du Maroc au </w:t>
      </w:r>
      <w:r w:rsidR="002B2DAE">
        <w:t>P</w:t>
      </w:r>
      <w:r w:rsidR="009A09FE">
        <w:t xml:space="preserve">rotocole facultatif </w:t>
      </w:r>
      <w:r w:rsidR="002B2DAE">
        <w:t xml:space="preserve">se rapportant </w:t>
      </w:r>
      <w:r w:rsidR="009A09FE">
        <w:t>à la Convention</w:t>
      </w:r>
      <w:r w:rsidR="000D10E9">
        <w:t xml:space="preserve"> contre la torture</w:t>
      </w:r>
      <w:r w:rsidR="009A09FE">
        <w:t xml:space="preserve">. </w:t>
      </w:r>
      <w:r w:rsidR="009A09FE" w:rsidRPr="00E10225">
        <w:t xml:space="preserve">Le Comité </w:t>
      </w:r>
      <w:r w:rsidR="009A09FE">
        <w:t>est</w:t>
      </w:r>
      <w:r w:rsidR="009A09FE" w:rsidRPr="00E10225">
        <w:t xml:space="preserve"> néanmoins </w:t>
      </w:r>
      <w:r w:rsidR="009A09FE">
        <w:t xml:space="preserve">préoccupé par le fait </w:t>
      </w:r>
      <w:r w:rsidR="009A09FE" w:rsidRPr="00E10225">
        <w:t xml:space="preserve">que </w:t>
      </w:r>
      <w:r w:rsidR="00217BB5">
        <w:t>plusieurs</w:t>
      </w:r>
      <w:r w:rsidR="00E31656">
        <w:t xml:space="preserve"> </w:t>
      </w:r>
      <w:r w:rsidR="009A09FE" w:rsidRPr="00E10225">
        <w:t>organisations non</w:t>
      </w:r>
      <w:r w:rsidR="00217BB5">
        <w:t xml:space="preserve"> </w:t>
      </w:r>
      <w:r w:rsidR="009A09FE" w:rsidRPr="00E10225">
        <w:t>gouvernementales</w:t>
      </w:r>
      <w:r w:rsidR="00B04EF1">
        <w:t>,</w:t>
      </w:r>
      <w:r w:rsidR="009A09FE">
        <w:t xml:space="preserve"> </w:t>
      </w:r>
      <w:r w:rsidR="00217BB5">
        <w:t xml:space="preserve">qui </w:t>
      </w:r>
      <w:r w:rsidR="009A09FE">
        <w:t>souhaitaient observer la situation dans les établissements pénitentiaires</w:t>
      </w:r>
      <w:r w:rsidR="00B04EF1">
        <w:t>,</w:t>
      </w:r>
      <w:r w:rsidR="009A09FE" w:rsidRPr="00E10225">
        <w:t xml:space="preserve"> se sont vu refuser le droit de visiter les centres de détention</w:t>
      </w:r>
      <w:r w:rsidR="00B04EF1">
        <w:t xml:space="preserve">. </w:t>
      </w:r>
      <w:r w:rsidR="00B04EF1" w:rsidRPr="00194064">
        <w:t>E</w:t>
      </w:r>
      <w:r w:rsidR="009A09FE" w:rsidRPr="00194064">
        <w:t>n vertu de l’article 620 du</w:t>
      </w:r>
      <w:r w:rsidR="009A09FE">
        <w:t xml:space="preserve"> Code de procédure pénale</w:t>
      </w:r>
      <w:r w:rsidR="00B04EF1">
        <w:t>, ces visites</w:t>
      </w:r>
      <w:r w:rsidR="009A09FE" w:rsidRPr="00E10225">
        <w:t xml:space="preserve"> </w:t>
      </w:r>
      <w:r w:rsidR="009A09FE">
        <w:t>semble</w:t>
      </w:r>
      <w:r w:rsidR="00B04EF1">
        <w:t>nt</w:t>
      </w:r>
      <w:r w:rsidR="009A09FE">
        <w:t xml:space="preserve"> être</w:t>
      </w:r>
      <w:r w:rsidR="009A09FE" w:rsidRPr="00E10225">
        <w:t xml:space="preserve"> du ressort exclusif des commission</w:t>
      </w:r>
      <w:r w:rsidR="009A09FE">
        <w:t>s</w:t>
      </w:r>
      <w:r w:rsidR="009A09FE" w:rsidRPr="00E10225">
        <w:t xml:space="preserve"> provinciales. </w:t>
      </w:r>
      <w:r w:rsidR="009A09FE">
        <w:t>Il regrette également l</w:t>
      </w:r>
      <w:r w:rsidR="000C2FD2">
        <w:t>’absenc</w:t>
      </w:r>
      <w:r w:rsidR="009A09FE">
        <w:t xml:space="preserve">e d’information sur les suites </w:t>
      </w:r>
      <w:r w:rsidR="000C2FD2">
        <w:t xml:space="preserve">données aux </w:t>
      </w:r>
      <w:r w:rsidR="009A09FE">
        <w:t>visites effectuées</w:t>
      </w:r>
      <w:r w:rsidR="000C2FD2">
        <w:t xml:space="preserve"> et </w:t>
      </w:r>
      <w:r w:rsidR="00B04EF1">
        <w:t xml:space="preserve">sur </w:t>
      </w:r>
      <w:r w:rsidR="000C2FD2">
        <w:t xml:space="preserve">les résultats obtenus </w:t>
      </w:r>
      <w:r w:rsidR="009A09FE">
        <w:t>(art. 11 et 16)</w:t>
      </w:r>
      <w:r w:rsidR="00130B3A">
        <w:t>.</w:t>
      </w:r>
    </w:p>
    <w:p w:rsidR="009A09FE" w:rsidRPr="009A09FE" w:rsidRDefault="00E56440" w:rsidP="00187375">
      <w:pPr>
        <w:pStyle w:val="H23G"/>
        <w:jc w:val="both"/>
      </w:pPr>
      <w:r>
        <w:tab/>
      </w:r>
      <w:r>
        <w:tab/>
      </w:r>
      <w:r w:rsidR="009A09FE" w:rsidRPr="009A09FE">
        <w:t>L’</w:t>
      </w:r>
      <w:r w:rsidR="00643C2B">
        <w:t>État</w:t>
      </w:r>
      <w:r w:rsidR="009A09FE" w:rsidRPr="009A09FE">
        <w:t xml:space="preserve"> partie devrait s’assurer que le mécanisme national de contrôle des lieux de détention </w:t>
      </w:r>
      <w:r w:rsidR="00187375">
        <w:t>soit</w:t>
      </w:r>
      <w:r w:rsidR="001B074A" w:rsidRPr="009A09FE">
        <w:t xml:space="preserve"> </w:t>
      </w:r>
      <w:r w:rsidR="009A09FE" w:rsidRPr="009A09FE">
        <w:t>en mesure d’assurer une surveillance et une inspection effective</w:t>
      </w:r>
      <w:r w:rsidR="000A6B2D">
        <w:t>s</w:t>
      </w:r>
      <w:r w:rsidR="009A09FE" w:rsidRPr="009A09FE">
        <w:t xml:space="preserve"> de tous les lieux de détention, et qu’</w:t>
      </w:r>
      <w:r w:rsidR="00CB5EEE">
        <w:t xml:space="preserve">une </w:t>
      </w:r>
      <w:r w:rsidR="009A09FE" w:rsidRPr="009A09FE">
        <w:t xml:space="preserve">suite </w:t>
      </w:r>
      <w:r w:rsidR="00187375">
        <w:t>soit</w:t>
      </w:r>
      <w:r w:rsidR="00CB5EEE">
        <w:t xml:space="preserve"> donnée </w:t>
      </w:r>
      <w:r w:rsidR="009A09FE" w:rsidRPr="009A09FE">
        <w:t xml:space="preserve">aux résultats </w:t>
      </w:r>
      <w:r w:rsidR="009A09FE" w:rsidRPr="00BB5048">
        <w:t>d</w:t>
      </w:r>
      <w:r w:rsidR="00CB5EEE" w:rsidRPr="00BB5048">
        <w:t>e ce</w:t>
      </w:r>
      <w:r w:rsidR="00BB5048" w:rsidRPr="00BB5048">
        <w:t>s contrôles</w:t>
      </w:r>
      <w:r w:rsidR="009A09FE" w:rsidRPr="009A09FE">
        <w:t xml:space="preserve">. Le mécanisme en question devrait </w:t>
      </w:r>
      <w:r w:rsidR="0000600E">
        <w:t>prévoir</w:t>
      </w:r>
      <w:r w:rsidR="00BE45B4">
        <w:t xml:space="preserve"> </w:t>
      </w:r>
      <w:r w:rsidR="00DD4C3B">
        <w:t>l</w:t>
      </w:r>
      <w:r w:rsidR="009A09FE" w:rsidRPr="00DD4C3B">
        <w:t>es</w:t>
      </w:r>
      <w:r w:rsidR="009A09FE" w:rsidRPr="009A09FE">
        <w:t xml:space="preserve"> visites périodiques et inopinées </w:t>
      </w:r>
      <w:r w:rsidR="009A09FE" w:rsidRPr="00BE45B4">
        <w:t>des</w:t>
      </w:r>
      <w:r w:rsidR="009A09FE" w:rsidRPr="009A09FE">
        <w:t xml:space="preserve"> observateurs nationaux et internationaux</w:t>
      </w:r>
      <w:r w:rsidR="00C90A33">
        <w:t xml:space="preserve"> de sorte </w:t>
      </w:r>
      <w:r w:rsidR="009A09FE" w:rsidRPr="009A09FE">
        <w:t>de prévenir la torture et autres peines ou traitements cruels, inhumains ou dégradants. L’</w:t>
      </w:r>
      <w:r w:rsidR="00643C2B">
        <w:t>État</w:t>
      </w:r>
      <w:r w:rsidR="009A09FE" w:rsidRPr="009A09FE">
        <w:t xml:space="preserve"> partie devrait également faire en sorte que des médecins légistes formés à la détection des signes de torture soient présents pendant ces visites. De plus, </w:t>
      </w:r>
      <w:r w:rsidR="003C1E56">
        <w:t>il</w:t>
      </w:r>
      <w:r w:rsidR="009A09FE" w:rsidRPr="009A09FE">
        <w:t xml:space="preserve"> devrait modifier sa législation afin d’octroyer également aux organisations non</w:t>
      </w:r>
      <w:r w:rsidR="003C1E56">
        <w:t xml:space="preserve"> </w:t>
      </w:r>
      <w:r w:rsidR="009A09FE" w:rsidRPr="009A09FE">
        <w:t xml:space="preserve">gouvernementales la possibilité d’effectuer des visites régulières, indépendantes, inopinées et illimitées </w:t>
      </w:r>
      <w:r w:rsidR="009A09FE" w:rsidRPr="00BE45B4">
        <w:t>d</w:t>
      </w:r>
      <w:r w:rsidR="006D541F">
        <w:t>ans l</w:t>
      </w:r>
      <w:r w:rsidR="009A09FE" w:rsidRPr="009A09FE">
        <w:t>es lieux de détention.</w:t>
      </w:r>
    </w:p>
    <w:p w:rsidR="009A09FE" w:rsidRPr="009A09FE" w:rsidRDefault="009A09FE" w:rsidP="00E44BBF">
      <w:pPr>
        <w:pStyle w:val="H23G"/>
        <w:jc w:val="both"/>
      </w:pPr>
      <w:r w:rsidRPr="009A09FE">
        <w:tab/>
      </w:r>
      <w:r w:rsidRPr="009A09FE">
        <w:tab/>
        <w:t>Conditions de détention</w:t>
      </w:r>
    </w:p>
    <w:p w:rsidR="00130B3A" w:rsidRDefault="00E968A2" w:rsidP="003C1E93">
      <w:pPr>
        <w:pStyle w:val="SingleTxtG"/>
      </w:pPr>
      <w:r>
        <w:t>1</w:t>
      </w:r>
      <w:r w:rsidR="0029211D">
        <w:t>9</w:t>
      </w:r>
      <w:r w:rsidR="009A09FE">
        <w:t>.</w:t>
      </w:r>
      <w:r w:rsidR="009A09FE">
        <w:tab/>
        <w:t>Le Comité note avec satisfaction les informations fournies par l’</w:t>
      </w:r>
      <w:r w:rsidR="00643C2B">
        <w:t>État</w:t>
      </w:r>
      <w:r w:rsidR="009A09FE">
        <w:t xml:space="preserve"> partie </w:t>
      </w:r>
      <w:r w:rsidR="006E00BA">
        <w:t xml:space="preserve">sur </w:t>
      </w:r>
      <w:r w:rsidR="009A09FE">
        <w:t>son plan de construction et de rénovation des établissements pénitentiaires</w:t>
      </w:r>
      <w:r w:rsidR="00165CF6">
        <w:t xml:space="preserve">. Ce plan </w:t>
      </w:r>
      <w:r w:rsidR="009A09FE">
        <w:t>a vraisemblablement conduit à une certaine amélioration des conditions de détention dans les établissements concernés. Le Comité reste néanmoins préoccupé par le fait que</w:t>
      </w:r>
      <w:r w:rsidR="00A426E2">
        <w:t>,</w:t>
      </w:r>
      <w:r w:rsidR="009A09FE">
        <w:t xml:space="preserve"> selon les informations reçues, les conditions de détention dans </w:t>
      </w:r>
      <w:r w:rsidR="00165CF6">
        <w:t xml:space="preserve">la </w:t>
      </w:r>
      <w:r w:rsidR="009A09FE">
        <w:t>majorité de</w:t>
      </w:r>
      <w:r w:rsidR="00165CF6">
        <w:t>s</w:t>
      </w:r>
      <w:r w:rsidR="009A09FE">
        <w:t xml:space="preserve"> prisons restent alarmantes, </w:t>
      </w:r>
      <w:r w:rsidR="00165CF6">
        <w:t>en raison</w:t>
      </w:r>
      <w:r w:rsidR="009A09FE">
        <w:t xml:space="preserve"> </w:t>
      </w:r>
      <w:r w:rsidR="00A426E2">
        <w:t xml:space="preserve">notamment </w:t>
      </w:r>
      <w:r w:rsidR="009A09FE">
        <w:t xml:space="preserve">de la surpopulation, </w:t>
      </w:r>
      <w:r w:rsidR="00165CF6">
        <w:t>d</w:t>
      </w:r>
      <w:r w:rsidR="009A09FE">
        <w:t>es mauvais traitements</w:t>
      </w:r>
      <w:r w:rsidR="00165CF6">
        <w:t>,</w:t>
      </w:r>
      <w:r w:rsidR="009A09FE">
        <w:t xml:space="preserve"> </w:t>
      </w:r>
      <w:r w:rsidR="00165CF6">
        <w:t>d</w:t>
      </w:r>
      <w:r w:rsidR="009A09FE">
        <w:t xml:space="preserve">es sanctions disciplinaires, y compris la mise au secret </w:t>
      </w:r>
      <w:r w:rsidR="00165CF6">
        <w:t xml:space="preserve">pendant </w:t>
      </w:r>
      <w:r w:rsidR="009A09FE">
        <w:t xml:space="preserve">des périodes prolongées, </w:t>
      </w:r>
      <w:r w:rsidR="00165CF6">
        <w:t>d</w:t>
      </w:r>
      <w:r w:rsidR="009A09FE">
        <w:t>es conditions sanitaires,</w:t>
      </w:r>
      <w:r w:rsidR="00165CF6">
        <w:t xml:space="preserve"> de</w:t>
      </w:r>
      <w:r w:rsidR="009A09FE">
        <w:t xml:space="preserve"> l’approvisionnement en nourriture et </w:t>
      </w:r>
      <w:r w:rsidR="00165CF6">
        <w:t xml:space="preserve">de </w:t>
      </w:r>
      <w:r w:rsidR="009A09FE">
        <w:t xml:space="preserve">l’accès aux soins médicaux. Le Comité est préoccupé par le fait que </w:t>
      </w:r>
      <w:r w:rsidR="00A426E2">
        <w:t>ces</w:t>
      </w:r>
      <w:r w:rsidR="009A09FE">
        <w:t xml:space="preserve"> conditions </w:t>
      </w:r>
      <w:r w:rsidR="006451AB">
        <w:t xml:space="preserve">ont </w:t>
      </w:r>
      <w:r w:rsidR="009A09FE">
        <w:t xml:space="preserve">poussé certains détenus à </w:t>
      </w:r>
      <w:r w:rsidR="00DC6579">
        <w:t xml:space="preserve">entamer </w:t>
      </w:r>
      <w:r w:rsidR="009A09FE">
        <w:t>des grèves de la faim</w:t>
      </w:r>
      <w:r w:rsidR="003C1E93">
        <w:t>,</w:t>
      </w:r>
      <w:r w:rsidR="009A09FE">
        <w:t xml:space="preserve"> d’autres à se révolter </w:t>
      </w:r>
      <w:r w:rsidR="003C1E93">
        <w:t>et à participer à</w:t>
      </w:r>
      <w:r w:rsidR="00DC6579">
        <w:t xml:space="preserve"> </w:t>
      </w:r>
      <w:r w:rsidR="009A09FE">
        <w:t>de</w:t>
      </w:r>
      <w:r w:rsidR="003C1E93">
        <w:t>s</w:t>
      </w:r>
      <w:r w:rsidR="009A09FE">
        <w:t xml:space="preserve"> mouvements de protestation violemment réprimés par les forces de l’ordre (art. 11 et 16)</w:t>
      </w:r>
      <w:r w:rsidR="00130B3A">
        <w:t>.</w:t>
      </w:r>
    </w:p>
    <w:p w:rsidR="009A09FE" w:rsidRPr="00130B3A" w:rsidRDefault="009A09FE" w:rsidP="00FD5BE6">
      <w:pPr>
        <w:pStyle w:val="SingleTxtG"/>
        <w:rPr>
          <w:b/>
          <w:bCs/>
        </w:rPr>
      </w:pPr>
      <w:r w:rsidRPr="00130B3A">
        <w:rPr>
          <w:b/>
          <w:bCs/>
        </w:rPr>
        <w:t>Afin de rendre les conditions de détention sur l’ensemble du territoire marocain conformes à l’Ensemble de règles minima pour le traitement des détenus,</w:t>
      </w:r>
      <w:r w:rsidRPr="00130B3A">
        <w:rPr>
          <w:b/>
          <w:bCs/>
          <w:sz w:val="18"/>
          <w:vertAlign w:val="superscript"/>
        </w:rPr>
        <w:footnoteReference w:id="4"/>
      </w:r>
      <w:r w:rsidRPr="00130B3A">
        <w:rPr>
          <w:b/>
          <w:bCs/>
        </w:rPr>
        <w:t xml:space="preserve"> l’</w:t>
      </w:r>
      <w:r w:rsidR="00643C2B">
        <w:rPr>
          <w:b/>
          <w:bCs/>
        </w:rPr>
        <w:t>État</w:t>
      </w:r>
      <w:r w:rsidRPr="00130B3A">
        <w:rPr>
          <w:b/>
          <w:bCs/>
        </w:rPr>
        <w:t xml:space="preserve"> partie devrait poursuivre son effort </w:t>
      </w:r>
      <w:r w:rsidR="00110B26">
        <w:rPr>
          <w:b/>
          <w:bCs/>
        </w:rPr>
        <w:t>de construction</w:t>
      </w:r>
      <w:r w:rsidRPr="00130B3A">
        <w:rPr>
          <w:b/>
          <w:bCs/>
        </w:rPr>
        <w:t xml:space="preserve"> de nouveaux établissements pénitentiaires et </w:t>
      </w:r>
      <w:r w:rsidR="001538CE">
        <w:rPr>
          <w:b/>
          <w:bCs/>
        </w:rPr>
        <w:t>de</w:t>
      </w:r>
      <w:r w:rsidR="001538CE" w:rsidRPr="00130B3A">
        <w:rPr>
          <w:b/>
          <w:bCs/>
        </w:rPr>
        <w:t xml:space="preserve"> </w:t>
      </w:r>
      <w:r w:rsidRPr="00130B3A">
        <w:rPr>
          <w:b/>
          <w:bCs/>
        </w:rPr>
        <w:t>rénov</w:t>
      </w:r>
      <w:r w:rsidR="001538CE">
        <w:rPr>
          <w:b/>
          <w:bCs/>
        </w:rPr>
        <w:t>ation d</w:t>
      </w:r>
      <w:r w:rsidRPr="00130B3A">
        <w:rPr>
          <w:b/>
          <w:bCs/>
        </w:rPr>
        <w:t xml:space="preserve">es anciens, et continuer d’accroître les ressources allouées au fonctionnement des établissements pénitentiaires, </w:t>
      </w:r>
      <w:r w:rsidRPr="00DA5805">
        <w:rPr>
          <w:b/>
          <w:bCs/>
        </w:rPr>
        <w:t xml:space="preserve">notamment </w:t>
      </w:r>
      <w:r w:rsidR="00FD5BE6" w:rsidRPr="00DA5805">
        <w:rPr>
          <w:b/>
          <w:bCs/>
        </w:rPr>
        <w:t>pour</w:t>
      </w:r>
      <w:r w:rsidR="001412D2" w:rsidRPr="00DA5805">
        <w:rPr>
          <w:b/>
          <w:bCs/>
        </w:rPr>
        <w:t xml:space="preserve"> </w:t>
      </w:r>
      <w:r w:rsidRPr="00DA5805">
        <w:rPr>
          <w:b/>
          <w:bCs/>
        </w:rPr>
        <w:t xml:space="preserve">la nourriture et </w:t>
      </w:r>
      <w:r w:rsidR="00FD5BE6" w:rsidRPr="00DA5805">
        <w:rPr>
          <w:b/>
          <w:bCs/>
        </w:rPr>
        <w:t>l</w:t>
      </w:r>
      <w:r w:rsidRPr="00DA5805">
        <w:rPr>
          <w:b/>
          <w:bCs/>
        </w:rPr>
        <w:t>es soins médicaux.</w:t>
      </w:r>
      <w:r w:rsidRPr="00130B3A">
        <w:rPr>
          <w:b/>
          <w:bCs/>
        </w:rPr>
        <w:t xml:space="preserve"> Pour lutter contre le surpeuplement carcéral, largement dû au fait que la moitié des </w:t>
      </w:r>
      <w:r w:rsidR="001F7627">
        <w:rPr>
          <w:b/>
          <w:bCs/>
        </w:rPr>
        <w:t xml:space="preserve">personnes </w:t>
      </w:r>
      <w:r w:rsidRPr="00130B3A">
        <w:rPr>
          <w:b/>
          <w:bCs/>
        </w:rPr>
        <w:t>détenu</w:t>
      </w:r>
      <w:r w:rsidR="001F7627">
        <w:rPr>
          <w:b/>
          <w:bCs/>
        </w:rPr>
        <w:t>e</w:t>
      </w:r>
      <w:r w:rsidRPr="00130B3A">
        <w:rPr>
          <w:b/>
          <w:bCs/>
        </w:rPr>
        <w:t xml:space="preserve">s dans les prisons marocaines le </w:t>
      </w:r>
      <w:r w:rsidR="001F7627">
        <w:rPr>
          <w:b/>
          <w:bCs/>
        </w:rPr>
        <w:t xml:space="preserve">sont </w:t>
      </w:r>
      <w:r w:rsidRPr="00130B3A">
        <w:rPr>
          <w:b/>
          <w:bCs/>
        </w:rPr>
        <w:t>à titre préventif, l’</w:t>
      </w:r>
      <w:r w:rsidR="00643C2B">
        <w:rPr>
          <w:b/>
          <w:bCs/>
        </w:rPr>
        <w:t>État</w:t>
      </w:r>
      <w:r w:rsidRPr="00130B3A">
        <w:rPr>
          <w:b/>
          <w:bCs/>
        </w:rPr>
        <w:t xml:space="preserve"> partie devrait modifier sa législation </w:t>
      </w:r>
      <w:r w:rsidR="00CC612E">
        <w:rPr>
          <w:b/>
          <w:bCs/>
        </w:rPr>
        <w:t>pour</w:t>
      </w:r>
      <w:r w:rsidRPr="00130B3A">
        <w:rPr>
          <w:b/>
          <w:bCs/>
        </w:rPr>
        <w:t xml:space="preserve"> permettre </w:t>
      </w:r>
      <w:r w:rsidR="00102D5A">
        <w:rPr>
          <w:b/>
          <w:bCs/>
        </w:rPr>
        <w:t>le</w:t>
      </w:r>
      <w:r w:rsidR="00102D5A" w:rsidRPr="00130B3A">
        <w:rPr>
          <w:b/>
          <w:bCs/>
        </w:rPr>
        <w:t xml:space="preserve"> </w:t>
      </w:r>
      <w:r w:rsidRPr="00130B3A">
        <w:rPr>
          <w:b/>
          <w:bCs/>
        </w:rPr>
        <w:t xml:space="preserve">recours aux mesures </w:t>
      </w:r>
      <w:r w:rsidR="00102D5A">
        <w:rPr>
          <w:b/>
          <w:bCs/>
        </w:rPr>
        <w:t xml:space="preserve">de </w:t>
      </w:r>
      <w:r w:rsidR="00102D5A" w:rsidRPr="00CB172D">
        <w:rPr>
          <w:b/>
          <w:bCs/>
        </w:rPr>
        <w:t>substitution</w:t>
      </w:r>
      <w:r w:rsidR="00102D5A" w:rsidRPr="00130B3A">
        <w:rPr>
          <w:b/>
          <w:bCs/>
        </w:rPr>
        <w:t xml:space="preserve"> </w:t>
      </w:r>
      <w:r w:rsidRPr="00130B3A">
        <w:rPr>
          <w:b/>
          <w:bCs/>
        </w:rPr>
        <w:t>à la mise en détention préventive</w:t>
      </w:r>
      <w:r w:rsidR="002040C0">
        <w:rPr>
          <w:b/>
          <w:bCs/>
        </w:rPr>
        <w:t xml:space="preserve">, </w:t>
      </w:r>
      <w:r w:rsidRPr="00130B3A">
        <w:rPr>
          <w:b/>
          <w:bCs/>
        </w:rPr>
        <w:t>conform</w:t>
      </w:r>
      <w:r w:rsidR="002040C0">
        <w:rPr>
          <w:b/>
          <w:bCs/>
        </w:rPr>
        <w:t xml:space="preserve">ément aux </w:t>
      </w:r>
      <w:r w:rsidRPr="00130B3A">
        <w:rPr>
          <w:b/>
          <w:bCs/>
        </w:rPr>
        <w:t>Règles minima des Nations Unies pour l’élaboration de mesures non privatives de liberté (Règles de Tokyo)</w:t>
      </w:r>
      <w:r w:rsidR="00AF07EE">
        <w:rPr>
          <w:b/>
          <w:bCs/>
        </w:rPr>
        <w:t>.</w:t>
      </w:r>
      <w:r w:rsidRPr="00130B3A">
        <w:rPr>
          <w:b/>
          <w:bCs/>
          <w:sz w:val="18"/>
          <w:vertAlign w:val="superscript"/>
        </w:rPr>
        <w:footnoteReference w:id="5"/>
      </w:r>
      <w:r w:rsidRPr="00130B3A">
        <w:rPr>
          <w:b/>
          <w:bCs/>
        </w:rPr>
        <w:t xml:space="preserve"> </w:t>
      </w:r>
      <w:r w:rsidR="00AF07EE">
        <w:rPr>
          <w:b/>
          <w:bCs/>
        </w:rPr>
        <w:t xml:space="preserve">À cet effet, il pourrait </w:t>
      </w:r>
      <w:r w:rsidRPr="00130B3A">
        <w:rPr>
          <w:b/>
          <w:bCs/>
        </w:rPr>
        <w:t>développ</w:t>
      </w:r>
      <w:r w:rsidR="00AF07EE">
        <w:rPr>
          <w:b/>
          <w:bCs/>
        </w:rPr>
        <w:t xml:space="preserve">er </w:t>
      </w:r>
      <w:r w:rsidRPr="00130B3A">
        <w:rPr>
          <w:b/>
          <w:bCs/>
        </w:rPr>
        <w:t xml:space="preserve">un système de cautionnement et </w:t>
      </w:r>
      <w:r w:rsidR="00AF07EE">
        <w:rPr>
          <w:b/>
          <w:bCs/>
        </w:rPr>
        <w:t>de</w:t>
      </w:r>
      <w:r w:rsidR="00AF07EE" w:rsidRPr="00130B3A">
        <w:rPr>
          <w:b/>
          <w:bCs/>
        </w:rPr>
        <w:t xml:space="preserve"> </w:t>
      </w:r>
      <w:r w:rsidRPr="00130B3A">
        <w:rPr>
          <w:b/>
          <w:bCs/>
        </w:rPr>
        <w:t xml:space="preserve">recours plus fréquent </w:t>
      </w:r>
      <w:r w:rsidR="002040C0">
        <w:rPr>
          <w:b/>
          <w:bCs/>
        </w:rPr>
        <w:t>aux</w:t>
      </w:r>
      <w:r w:rsidRPr="00130B3A">
        <w:rPr>
          <w:b/>
          <w:bCs/>
        </w:rPr>
        <w:t xml:space="preserve"> peines non privatives de liberté pour les infractions les moins graves. </w:t>
      </w:r>
    </w:p>
    <w:p w:rsidR="009A09FE" w:rsidRPr="009A09FE" w:rsidRDefault="009A09FE" w:rsidP="00E44BBF">
      <w:pPr>
        <w:pStyle w:val="H23G"/>
        <w:jc w:val="both"/>
      </w:pPr>
      <w:r>
        <w:tab/>
      </w:r>
      <w:r>
        <w:tab/>
      </w:r>
      <w:r w:rsidRPr="009A09FE">
        <w:t>Décès dans les prisons</w:t>
      </w:r>
    </w:p>
    <w:p w:rsidR="009A09FE" w:rsidRDefault="0029211D" w:rsidP="00DA5805">
      <w:pPr>
        <w:pStyle w:val="SingleTxtG"/>
      </w:pPr>
      <w:r>
        <w:t>20</w:t>
      </w:r>
      <w:r w:rsidR="009A09FE">
        <w:t>.</w:t>
      </w:r>
      <w:r w:rsidR="009A09FE">
        <w:tab/>
      </w:r>
      <w:r w:rsidR="009A09FE" w:rsidRPr="006F79F3">
        <w:t xml:space="preserve">Le Comité prend </w:t>
      </w:r>
      <w:r w:rsidR="00C20509">
        <w:t>acte</w:t>
      </w:r>
      <w:r w:rsidR="00C20509" w:rsidRPr="006F79F3">
        <w:t xml:space="preserve"> </w:t>
      </w:r>
      <w:r w:rsidR="009A09FE" w:rsidRPr="006F79F3">
        <w:t xml:space="preserve">des informations détaillées </w:t>
      </w:r>
      <w:r w:rsidR="00C20509">
        <w:t xml:space="preserve">fournies </w:t>
      </w:r>
      <w:r w:rsidR="009A09FE" w:rsidRPr="006F79F3">
        <w:t>sur le nombre de</w:t>
      </w:r>
      <w:r w:rsidR="00BA5D52">
        <w:t>s</w:t>
      </w:r>
      <w:r w:rsidR="009A09FE" w:rsidRPr="006F79F3">
        <w:t xml:space="preserve"> décès dans les prisons marocaines et </w:t>
      </w:r>
      <w:r w:rsidR="0095173B">
        <w:t xml:space="preserve">sur </w:t>
      </w:r>
      <w:r w:rsidR="009A09FE" w:rsidRPr="006F79F3">
        <w:t>leur</w:t>
      </w:r>
      <w:r w:rsidR="00251EE9">
        <w:t>s</w:t>
      </w:r>
      <w:r w:rsidR="009A09FE" w:rsidRPr="006F79F3">
        <w:t xml:space="preserve"> </w:t>
      </w:r>
      <w:r w:rsidR="0095173B">
        <w:t>causes</w:t>
      </w:r>
      <w:r w:rsidR="0095173B" w:rsidRPr="006F79F3">
        <w:t xml:space="preserve"> </w:t>
      </w:r>
      <w:r w:rsidR="009A09FE" w:rsidRPr="006F79F3">
        <w:t>officielles. Il regrette</w:t>
      </w:r>
      <w:r w:rsidR="00A118E2">
        <w:t>,</w:t>
      </w:r>
      <w:r w:rsidR="009A09FE" w:rsidRPr="006F79F3">
        <w:t xml:space="preserve"> néanmoins</w:t>
      </w:r>
      <w:r w:rsidR="00A118E2">
        <w:t>,</w:t>
      </w:r>
      <w:r w:rsidR="009A09FE" w:rsidRPr="006F79F3">
        <w:t xml:space="preserve"> l’absence d’information sur les mécanismes en place </w:t>
      </w:r>
      <w:r w:rsidR="00DD2E9B">
        <w:t>permettant d’</w:t>
      </w:r>
      <w:r w:rsidR="009A09FE" w:rsidRPr="006F79F3">
        <w:t xml:space="preserve">enquêter de manière systématique et indépendante sur les causes de </w:t>
      </w:r>
      <w:r w:rsidR="00DD2E9B">
        <w:t>ces</w:t>
      </w:r>
      <w:r w:rsidR="00DD2E9B" w:rsidRPr="006F79F3">
        <w:t xml:space="preserve"> </w:t>
      </w:r>
      <w:r w:rsidR="009A09FE" w:rsidRPr="006F79F3">
        <w:t>décès</w:t>
      </w:r>
      <w:r w:rsidR="00DA5805">
        <w:t xml:space="preserve">, alors que les </w:t>
      </w:r>
      <w:r w:rsidR="009A09FE">
        <w:t>cas de suicide</w:t>
      </w:r>
      <w:r w:rsidR="00DA5805">
        <w:t xml:space="preserve"> font, quant à eux, systématiquement l’objet d’une enquête</w:t>
      </w:r>
      <w:r w:rsidR="001235F5">
        <w:t xml:space="preserve"> </w:t>
      </w:r>
      <w:r w:rsidR="009A09FE">
        <w:t xml:space="preserve"> (art. 11, 12 et 16)</w:t>
      </w:r>
      <w:r w:rsidR="001235F5">
        <w:t>.</w:t>
      </w:r>
    </w:p>
    <w:p w:rsidR="009A09FE" w:rsidRPr="009A09FE" w:rsidRDefault="00E56440" w:rsidP="00213A8A">
      <w:pPr>
        <w:pStyle w:val="H23G"/>
        <w:jc w:val="both"/>
      </w:pPr>
      <w:r>
        <w:tab/>
      </w:r>
      <w:r>
        <w:tab/>
      </w:r>
      <w:r w:rsidR="009A09FE" w:rsidRPr="009A09FE">
        <w:t>L’</w:t>
      </w:r>
      <w:r w:rsidR="00643C2B">
        <w:t>État</w:t>
      </w:r>
      <w:r w:rsidR="009A09FE" w:rsidRPr="009A09FE">
        <w:t xml:space="preserve"> partie devrait enquêter rapidement et de manière approfondie et impartiale sur tous les décès en détention et poursuivre </w:t>
      </w:r>
      <w:r w:rsidR="00900D1A">
        <w:t>les</w:t>
      </w:r>
      <w:r w:rsidR="00501442">
        <w:t xml:space="preserve"> personnes</w:t>
      </w:r>
      <w:r w:rsidR="009A09FE" w:rsidRPr="009A09FE">
        <w:t xml:space="preserve"> responsables, le cas échéant. Il devrait fournir au Comité des informations sur tout décès en détention résultant d’actes de torture, de mauvais traitements ou d’une négligence volontaire. L’</w:t>
      </w:r>
      <w:r w:rsidR="00643C2B">
        <w:t>État</w:t>
      </w:r>
      <w:r w:rsidR="009A09FE" w:rsidRPr="009A09FE">
        <w:t xml:space="preserve"> partie devrait aussi </w:t>
      </w:r>
      <w:r w:rsidR="00614996">
        <w:t>veiller à ce que</w:t>
      </w:r>
      <w:r w:rsidR="00614996" w:rsidRPr="009A09FE">
        <w:t xml:space="preserve"> </w:t>
      </w:r>
      <w:r w:rsidR="00614996">
        <w:t>l</w:t>
      </w:r>
      <w:r w:rsidR="009A09FE" w:rsidRPr="009A09FE">
        <w:t xml:space="preserve">es examens </w:t>
      </w:r>
      <w:r w:rsidR="00614996">
        <w:t xml:space="preserve">soient effectués </w:t>
      </w:r>
      <w:r w:rsidR="009A09FE" w:rsidRPr="009A09FE">
        <w:t>par des médecins légistes indépendants</w:t>
      </w:r>
      <w:r w:rsidR="00366A0F">
        <w:t>,</w:t>
      </w:r>
      <w:r w:rsidR="009A09FE" w:rsidRPr="009A09FE">
        <w:t xml:space="preserve"> et accepter les conclusions de ces examens </w:t>
      </w:r>
      <w:r w:rsidR="00366A0F">
        <w:t>comme</w:t>
      </w:r>
      <w:r w:rsidR="009A09FE" w:rsidRPr="009A09FE">
        <w:t xml:space="preserve"> preuve</w:t>
      </w:r>
      <w:r w:rsidR="00366A0F">
        <w:t>s</w:t>
      </w:r>
      <w:r w:rsidR="009A09FE" w:rsidRPr="009A09FE">
        <w:t xml:space="preserve"> dans les procédures pénales et civiles. </w:t>
      </w:r>
    </w:p>
    <w:p w:rsidR="009A09FE" w:rsidRPr="009A09FE" w:rsidRDefault="00E56440" w:rsidP="00E44BBF">
      <w:pPr>
        <w:pStyle w:val="H23G"/>
        <w:jc w:val="both"/>
      </w:pPr>
      <w:r>
        <w:tab/>
      </w:r>
      <w:r>
        <w:tab/>
      </w:r>
      <w:r w:rsidR="009A09FE" w:rsidRPr="009A09FE">
        <w:t xml:space="preserve">Condamnés à mort </w:t>
      </w:r>
    </w:p>
    <w:p w:rsidR="009A09FE" w:rsidRDefault="00E968A2" w:rsidP="002462D6">
      <w:pPr>
        <w:pStyle w:val="SingleTxtG"/>
      </w:pPr>
      <w:r>
        <w:t>2</w:t>
      </w:r>
      <w:r w:rsidR="0029211D">
        <w:t>1</w:t>
      </w:r>
      <w:r w:rsidR="009A09FE">
        <w:t>.</w:t>
      </w:r>
      <w:r w:rsidR="009A09FE">
        <w:tab/>
      </w:r>
      <w:r w:rsidR="009A09FE" w:rsidRPr="006F79F3">
        <w:t xml:space="preserve">Le Comité </w:t>
      </w:r>
      <w:r w:rsidR="009A09FE">
        <w:t>prend note</w:t>
      </w:r>
      <w:r w:rsidR="009A09FE" w:rsidRPr="006F79F3">
        <w:t xml:space="preserve"> </w:t>
      </w:r>
      <w:r w:rsidR="009A09FE">
        <w:t>du</w:t>
      </w:r>
      <w:r w:rsidR="009A09FE" w:rsidRPr="006F79F3">
        <w:t xml:space="preserve"> moratoire </w:t>
      </w:r>
      <w:r w:rsidR="009A09FE" w:rsidRPr="00643C2B">
        <w:rPr>
          <w:iCs/>
        </w:rPr>
        <w:t>de facto</w:t>
      </w:r>
      <w:r w:rsidR="009A09FE" w:rsidRPr="006F79F3">
        <w:t xml:space="preserve"> sur l’application de la peine de mort </w:t>
      </w:r>
      <w:r w:rsidR="009D36F3">
        <w:t xml:space="preserve">en vigueur </w:t>
      </w:r>
      <w:r w:rsidR="009A09FE">
        <w:t>depuis 1993</w:t>
      </w:r>
      <w:r w:rsidR="006C454D">
        <w:t>,</w:t>
      </w:r>
      <w:r w:rsidR="009A09FE">
        <w:t xml:space="preserve"> du</w:t>
      </w:r>
      <w:r w:rsidR="009A09FE" w:rsidRPr="006F79F3">
        <w:t xml:space="preserve"> projet de réforme législative </w:t>
      </w:r>
      <w:r w:rsidR="00BC4B18">
        <w:t>visant à</w:t>
      </w:r>
      <w:r w:rsidR="009A09FE" w:rsidRPr="006F79F3">
        <w:t xml:space="preserve"> réduire significativement le nombre de</w:t>
      </w:r>
      <w:r w:rsidR="00310EB1">
        <w:t>s</w:t>
      </w:r>
      <w:r w:rsidR="009A09FE" w:rsidRPr="006F79F3">
        <w:t xml:space="preserve"> crimes passibles de la peine capitale</w:t>
      </w:r>
      <w:r w:rsidR="009A09FE">
        <w:t xml:space="preserve"> et </w:t>
      </w:r>
      <w:r w:rsidR="006C454D" w:rsidRPr="00DA5805">
        <w:t xml:space="preserve">de </w:t>
      </w:r>
      <w:r w:rsidR="009A09FE" w:rsidRPr="00DA5805">
        <w:t>la nécessité q</w:t>
      </w:r>
      <w:r w:rsidR="009A09FE">
        <w:t>ue de telles peines soient prononcées à l’unanimité</w:t>
      </w:r>
      <w:r w:rsidR="009A09FE" w:rsidRPr="006F79F3">
        <w:t>.</w:t>
      </w:r>
      <w:r w:rsidR="009A09FE">
        <w:t xml:space="preserve"> Le Comité se déclare aussi préoccupé par les conditions d’incarcération des condamnés à mort</w:t>
      </w:r>
      <w:r w:rsidR="006C454D" w:rsidRPr="00DA5805">
        <w:t xml:space="preserve">. Celles-ci, </w:t>
      </w:r>
      <w:r w:rsidR="00CE7C0C" w:rsidRPr="00DA5805">
        <w:t>en l’état</w:t>
      </w:r>
      <w:r w:rsidR="006C454D" w:rsidRPr="00DA5805">
        <w:t>,</w:t>
      </w:r>
      <w:r w:rsidR="00CE7C0C" w:rsidRPr="00DA5805">
        <w:t xml:space="preserve"> </w:t>
      </w:r>
      <w:r w:rsidR="009A09FE" w:rsidRPr="00DA5805">
        <w:t xml:space="preserve">peuvent constituer un traitement cruel, inhumain ou dégradant, en particulier </w:t>
      </w:r>
      <w:r w:rsidR="00CE7C0C" w:rsidRPr="00DA5805">
        <w:t>compte tenu</w:t>
      </w:r>
      <w:r w:rsidR="009A09FE" w:rsidRPr="00DA5805">
        <w:t xml:space="preserve"> de la durée de </w:t>
      </w:r>
      <w:r w:rsidR="006C454D" w:rsidRPr="00DA5805">
        <w:t xml:space="preserve">la </w:t>
      </w:r>
      <w:r w:rsidR="009A09FE" w:rsidRPr="00DA5805">
        <w:t xml:space="preserve">détention dans les quartiers des condamnés à mort et de l’incertitude </w:t>
      </w:r>
      <w:r w:rsidR="00C0317E" w:rsidRPr="00DA5805">
        <w:t>pesant sur le</w:t>
      </w:r>
      <w:r w:rsidR="009A09FE" w:rsidRPr="00DA5805">
        <w:t xml:space="preserve"> sort de ces condamnés</w:t>
      </w:r>
      <w:r w:rsidR="00C0317E" w:rsidRPr="00DA5805">
        <w:t xml:space="preserve"> du fait</w:t>
      </w:r>
      <w:r w:rsidR="009A09FE" w:rsidRPr="00DA5805">
        <w:t>, notamment</w:t>
      </w:r>
      <w:r w:rsidR="00C0317E" w:rsidRPr="00DA5805">
        <w:t>, de</w:t>
      </w:r>
      <w:r w:rsidR="00CE7C0C" w:rsidRPr="00DA5805">
        <w:t xml:space="preserve"> </w:t>
      </w:r>
      <w:r w:rsidR="009A09FE" w:rsidRPr="00DA5805">
        <w:t xml:space="preserve">l’absence </w:t>
      </w:r>
      <w:r w:rsidR="002462D6" w:rsidRPr="00DA5805">
        <w:t>de toute</w:t>
      </w:r>
      <w:r w:rsidR="00CE7C0C" w:rsidRPr="00DA5805">
        <w:t xml:space="preserve"> </w:t>
      </w:r>
      <w:r w:rsidR="009A09FE" w:rsidRPr="00DA5805">
        <w:t>perspective de commutation</w:t>
      </w:r>
      <w:r w:rsidR="009A09FE" w:rsidRPr="00562E7A">
        <w:t xml:space="preserve"> de</w:t>
      </w:r>
      <w:r w:rsidR="00CE7C0C" w:rsidRPr="00562E7A">
        <w:t xml:space="preserve"> </w:t>
      </w:r>
      <w:r w:rsidR="002462D6">
        <w:t xml:space="preserve">leur </w:t>
      </w:r>
      <w:r w:rsidR="009A09FE" w:rsidRPr="00562E7A">
        <w:t>peine</w:t>
      </w:r>
      <w:r w:rsidR="001235F5" w:rsidRPr="00562E7A">
        <w:t xml:space="preserve"> </w:t>
      </w:r>
      <w:r w:rsidR="009A09FE" w:rsidRPr="00562E7A">
        <w:t>(</w:t>
      </w:r>
      <w:r w:rsidR="009A09FE">
        <w:t>art. 2, 11 et 16)</w:t>
      </w:r>
      <w:r w:rsidR="001235F5">
        <w:t>.</w:t>
      </w:r>
    </w:p>
    <w:p w:rsidR="009A09FE" w:rsidRPr="009A09FE" w:rsidRDefault="00E56440" w:rsidP="00194965">
      <w:pPr>
        <w:pStyle w:val="H23G"/>
        <w:jc w:val="both"/>
      </w:pPr>
      <w:r>
        <w:tab/>
      </w:r>
      <w:r>
        <w:tab/>
      </w:r>
      <w:r w:rsidR="009A09FE" w:rsidRPr="009A09FE">
        <w:t>Le Comité recommande à l’</w:t>
      </w:r>
      <w:r w:rsidR="00643C2B">
        <w:t>État</w:t>
      </w:r>
      <w:r w:rsidR="009A09FE" w:rsidRPr="009A09FE">
        <w:t xml:space="preserve"> partie d’envisager de ratifier le deuxième Protocole facultatif se rapportant au Pacte international relatif aux droits civils et politiques, visant à aboli</w:t>
      </w:r>
      <w:r w:rsidR="005E6C23">
        <w:t xml:space="preserve">r </w:t>
      </w:r>
      <w:r w:rsidR="009A09FE" w:rsidRPr="009A09FE">
        <w:t xml:space="preserve">la peine </w:t>
      </w:r>
      <w:r w:rsidR="005E6C23">
        <w:t>de mort</w:t>
      </w:r>
      <w:r w:rsidR="009A09FE" w:rsidRPr="009A09FE">
        <w:t>. En attendant, l’</w:t>
      </w:r>
      <w:r w:rsidR="00643C2B">
        <w:t>État</w:t>
      </w:r>
      <w:r w:rsidR="009A09FE" w:rsidRPr="009A09FE">
        <w:t xml:space="preserve"> partie devrait poursuivre son moratoire </w:t>
      </w:r>
      <w:r w:rsidR="009A09FE" w:rsidRPr="00643C2B">
        <w:rPr>
          <w:iCs/>
        </w:rPr>
        <w:t>de facto</w:t>
      </w:r>
      <w:r w:rsidR="009A09FE" w:rsidRPr="009A09FE">
        <w:t xml:space="preserve"> sur l’application des peines capitales, faire en sorte que sa législation prévoi</w:t>
      </w:r>
      <w:r w:rsidR="0009657A">
        <w:t>e</w:t>
      </w:r>
      <w:r w:rsidR="009A09FE" w:rsidRPr="009A09FE">
        <w:t xml:space="preserve"> la possibilité de commuer les condamnations à mort et veiller à ce que tous les condamnés à mort bénéficient de la protection assurée par la Convention</w:t>
      </w:r>
      <w:r w:rsidR="00C94574">
        <w:t>. En outre</w:t>
      </w:r>
      <w:r w:rsidR="0009657A">
        <w:t xml:space="preserve">, </w:t>
      </w:r>
      <w:r w:rsidR="00C94574">
        <w:t xml:space="preserve">il devrait faire en sorte </w:t>
      </w:r>
      <w:r w:rsidR="0009657A">
        <w:t>qu</w:t>
      </w:r>
      <w:r w:rsidR="00194965">
        <w:t xml:space="preserve">e ces derniers </w:t>
      </w:r>
      <w:r w:rsidR="009A09FE" w:rsidRPr="009A09FE">
        <w:t xml:space="preserve">soient traités avec humanité, et </w:t>
      </w:r>
      <w:r w:rsidR="0009657A">
        <w:t>qu’ils</w:t>
      </w:r>
      <w:r w:rsidR="009A09FE" w:rsidRPr="009A09FE">
        <w:t xml:space="preserve"> puissent</w:t>
      </w:r>
      <w:r w:rsidR="00C94574">
        <w:t>,</w:t>
      </w:r>
      <w:r w:rsidR="009A09FE" w:rsidRPr="009A09FE">
        <w:t xml:space="preserve"> </w:t>
      </w:r>
      <w:r w:rsidR="00C94574" w:rsidRPr="009A09FE">
        <w:t>en particulier</w:t>
      </w:r>
      <w:r w:rsidR="00C94574">
        <w:t xml:space="preserve">, </w:t>
      </w:r>
      <w:r w:rsidR="009A09FE" w:rsidRPr="009A09FE">
        <w:t>bénéficier des visites de leur famille et de leur</w:t>
      </w:r>
      <w:r w:rsidR="0009657A">
        <w:t>s</w:t>
      </w:r>
      <w:r w:rsidR="009A09FE" w:rsidRPr="009A09FE">
        <w:t xml:space="preserve"> avocats.</w:t>
      </w:r>
    </w:p>
    <w:p w:rsidR="009A09FE" w:rsidRPr="009A09FE" w:rsidRDefault="00E56440" w:rsidP="00E44BBF">
      <w:pPr>
        <w:pStyle w:val="H23G"/>
        <w:jc w:val="both"/>
      </w:pPr>
      <w:r>
        <w:tab/>
      </w:r>
      <w:r>
        <w:tab/>
      </w:r>
      <w:r w:rsidR="009A09FE" w:rsidRPr="009A09FE">
        <w:t>Hôpitaux psychiatriques</w:t>
      </w:r>
    </w:p>
    <w:p w:rsidR="009A09FE" w:rsidRDefault="00E968A2" w:rsidP="00B05449">
      <w:pPr>
        <w:pStyle w:val="SingleTxtG"/>
      </w:pPr>
      <w:r w:rsidRPr="005E6C23">
        <w:t>2</w:t>
      </w:r>
      <w:r w:rsidR="0029211D" w:rsidRPr="005E6C23">
        <w:t>2</w:t>
      </w:r>
      <w:r w:rsidR="009A09FE" w:rsidRPr="005E6C23">
        <w:t>.</w:t>
      </w:r>
      <w:r w:rsidR="009A09FE" w:rsidRPr="005E6C23">
        <w:tab/>
        <w:t>Le Comité prend note des informations écrites complémentaires qui lui ont été transmises par l’</w:t>
      </w:r>
      <w:r w:rsidR="00643C2B" w:rsidRPr="005E6C23">
        <w:t>État</w:t>
      </w:r>
      <w:r w:rsidR="009A09FE" w:rsidRPr="005E6C23">
        <w:t xml:space="preserve"> </w:t>
      </w:r>
      <w:r w:rsidR="009A09FE" w:rsidRPr="00694560">
        <w:t xml:space="preserve">partie </w:t>
      </w:r>
      <w:r w:rsidR="00B05449">
        <w:t>au sujet des</w:t>
      </w:r>
      <w:r w:rsidR="009A09FE" w:rsidRPr="00694560">
        <w:t xml:space="preserve"> mesures</w:t>
      </w:r>
      <w:r w:rsidR="00694560">
        <w:t xml:space="preserve"> envisagées</w:t>
      </w:r>
      <w:r w:rsidR="009A09FE" w:rsidRPr="00694560">
        <w:t xml:space="preserve">  pour lutter contre les mauvais traitements dans les hôpitaux psychiatriques</w:t>
      </w:r>
      <w:r w:rsidR="009A09FE" w:rsidRPr="005E6C23">
        <w:t xml:space="preserve"> et</w:t>
      </w:r>
      <w:r w:rsidR="00B05449">
        <w:t xml:space="preserve"> de</w:t>
      </w:r>
      <w:r w:rsidR="009A09FE" w:rsidRPr="005E6C23">
        <w:t xml:space="preserve"> la nouvelle loi-cadre de 2011 sur le système de santé. Le Comité reste toutefois préoccupé par le manque d’information sur la surveillance et l’inspection des institutions psychiatriques </w:t>
      </w:r>
      <w:r w:rsidR="00DD4C3B" w:rsidRPr="00DD4C3B">
        <w:t xml:space="preserve">susceptibles d’accueillir </w:t>
      </w:r>
      <w:r w:rsidR="009A09FE" w:rsidRPr="005E6C23">
        <w:t>des malades internés, ainsi que sur les résultats éventuels de</w:t>
      </w:r>
      <w:r w:rsidR="008F0383">
        <w:t xml:space="preserve"> cette </w:t>
      </w:r>
      <w:r w:rsidR="009A09FE" w:rsidRPr="005E6C23">
        <w:t>surveillance ou</w:t>
      </w:r>
      <w:r w:rsidR="008F0383">
        <w:t xml:space="preserve"> </w:t>
      </w:r>
      <w:r w:rsidR="009A09FE" w:rsidRPr="005E6C23">
        <w:t>inspection (art. 16)</w:t>
      </w:r>
      <w:r w:rsidR="001235F5" w:rsidRPr="005E6C23">
        <w:t>.</w:t>
      </w:r>
    </w:p>
    <w:p w:rsidR="009A09FE" w:rsidRPr="009A09FE" w:rsidRDefault="00E56440" w:rsidP="00AB4603">
      <w:pPr>
        <w:pStyle w:val="H23G"/>
        <w:jc w:val="both"/>
      </w:pPr>
      <w:r>
        <w:tab/>
      </w:r>
      <w:r>
        <w:tab/>
      </w:r>
      <w:r w:rsidR="009A09FE" w:rsidRPr="009A09FE">
        <w:t>L’</w:t>
      </w:r>
      <w:r w:rsidR="00643C2B">
        <w:t>État</w:t>
      </w:r>
      <w:r w:rsidR="009A09FE" w:rsidRPr="009A09FE">
        <w:t xml:space="preserve"> Partie devrait s’assurer que le mécanisme national de contrôle et </w:t>
      </w:r>
      <w:r w:rsidR="00800DD0">
        <w:t xml:space="preserve">de </w:t>
      </w:r>
      <w:r w:rsidR="009A09FE" w:rsidRPr="009A09FE">
        <w:t xml:space="preserve">surveillance des lieux de détention </w:t>
      </w:r>
      <w:r w:rsidR="000233A3">
        <w:t xml:space="preserve">qui doit </w:t>
      </w:r>
      <w:r w:rsidR="009A09FE" w:rsidRPr="009A09FE">
        <w:t>être prochainement établi</w:t>
      </w:r>
      <w:r w:rsidR="007830D7">
        <w:t xml:space="preserve"> </w:t>
      </w:r>
      <w:r w:rsidR="006A412A">
        <w:t>soit</w:t>
      </w:r>
      <w:r w:rsidR="009A09FE" w:rsidRPr="009A09FE">
        <w:t xml:space="preserve"> également compétent pour inspecter les autres lieux de privation de liberté, tels que les hôpitaux psychiatriques</w:t>
      </w:r>
      <w:r w:rsidR="006B3228">
        <w:t>. En outre</w:t>
      </w:r>
      <w:r w:rsidR="009A09FE" w:rsidRPr="009A09FE">
        <w:t xml:space="preserve">, </w:t>
      </w:r>
      <w:r w:rsidR="006B3228">
        <w:t xml:space="preserve">il devrait </w:t>
      </w:r>
      <w:r w:rsidR="009A09FE" w:rsidRPr="009A09FE">
        <w:t>faire en sorte qu’il soit donné suite aux résultats d</w:t>
      </w:r>
      <w:r w:rsidR="000233A3">
        <w:t xml:space="preserve">e ce </w:t>
      </w:r>
      <w:r w:rsidR="009A09FE" w:rsidRPr="009A09FE">
        <w:t xml:space="preserve">processus de contrôle. Le mécanisme en question devrait </w:t>
      </w:r>
      <w:r w:rsidR="0000600E">
        <w:t>prévoir</w:t>
      </w:r>
      <w:r w:rsidR="0000600E" w:rsidRPr="009A09FE">
        <w:t xml:space="preserve"> </w:t>
      </w:r>
      <w:r w:rsidR="009A09FE" w:rsidRPr="009A09FE">
        <w:t xml:space="preserve">des visites périodiques et inopinées de </w:t>
      </w:r>
      <w:r w:rsidR="0002080D">
        <w:t xml:space="preserve">manière à </w:t>
      </w:r>
      <w:r w:rsidR="009A09FE" w:rsidRPr="009A09FE">
        <w:t>prévenir la torture et autres peines ou traitements cruels, inhumains ou dégradants. L’</w:t>
      </w:r>
      <w:r w:rsidR="00643C2B">
        <w:t>État</w:t>
      </w:r>
      <w:r w:rsidR="009A09FE" w:rsidRPr="009A09FE">
        <w:t xml:space="preserve"> partie devrait également faire en sorte que des médecins légistes formés à la détection des signes de torture soient présents pendant ces visites. </w:t>
      </w:r>
      <w:r w:rsidR="00FB1533">
        <w:t>L’</w:t>
      </w:r>
      <w:r w:rsidR="00643C2B">
        <w:t>État</w:t>
      </w:r>
      <w:r w:rsidR="00FB1533">
        <w:t xml:space="preserve"> partie devrait également s’assurer que les patients détenus </w:t>
      </w:r>
      <w:r w:rsidR="00DF6F48">
        <w:t xml:space="preserve">dans ces institutions </w:t>
      </w:r>
      <w:r w:rsidR="00FB1533">
        <w:t xml:space="preserve">contre </w:t>
      </w:r>
      <w:r w:rsidR="00DF6F48">
        <w:t>l</w:t>
      </w:r>
      <w:r w:rsidR="00FB1533">
        <w:t>eur gré</w:t>
      </w:r>
      <w:r w:rsidR="001B074A">
        <w:t xml:space="preserve"> so</w:t>
      </w:r>
      <w:r w:rsidR="006A412A">
        <w:t>ie</w:t>
      </w:r>
      <w:r w:rsidR="001B074A">
        <w:t xml:space="preserve">nt </w:t>
      </w:r>
      <w:r w:rsidR="002E7AFD">
        <w:t xml:space="preserve">en mesure </w:t>
      </w:r>
      <w:r w:rsidR="00FB1533">
        <w:t>de faire appel de la décision d’internement et d’avoir accès à un médecin de leur choix.</w:t>
      </w:r>
    </w:p>
    <w:p w:rsidR="009A09FE" w:rsidRPr="009A09FE" w:rsidRDefault="009A09FE" w:rsidP="00E44BBF">
      <w:pPr>
        <w:pStyle w:val="H23G"/>
        <w:jc w:val="both"/>
      </w:pPr>
      <w:r w:rsidRPr="009A09FE">
        <w:tab/>
      </w:r>
      <w:r w:rsidRPr="009A09FE">
        <w:tab/>
        <w:t xml:space="preserve">Violence </w:t>
      </w:r>
      <w:r w:rsidR="00EA6141">
        <w:t>faite aux</w:t>
      </w:r>
      <w:r w:rsidRPr="009A09FE">
        <w:t xml:space="preserve"> femmes</w:t>
      </w:r>
    </w:p>
    <w:p w:rsidR="009A09FE" w:rsidRDefault="00E968A2" w:rsidP="00315DE2">
      <w:pPr>
        <w:pStyle w:val="SingleTxtG"/>
      </w:pPr>
      <w:r>
        <w:t>2</w:t>
      </w:r>
      <w:r w:rsidR="0029211D">
        <w:t>3</w:t>
      </w:r>
      <w:r w:rsidR="009A09FE">
        <w:t>.</w:t>
      </w:r>
      <w:r w:rsidR="009A09FE">
        <w:tab/>
        <w:t xml:space="preserve">Au vu de l’importance </w:t>
      </w:r>
      <w:r w:rsidR="00CA2DE3">
        <w:t xml:space="preserve">prise par </w:t>
      </w:r>
      <w:r w:rsidR="00315DE2">
        <w:t>la</w:t>
      </w:r>
      <w:r w:rsidR="009A09FE">
        <w:t xml:space="preserve"> violence envers les femmes au Maroc, le Comité se déclare vivement préoccupé par l’absence d’un cadre juridique </w:t>
      </w:r>
      <w:r w:rsidR="00CA2DE3">
        <w:t xml:space="preserve">à la fois </w:t>
      </w:r>
      <w:r w:rsidR="009A09FE">
        <w:t xml:space="preserve">spécifique et </w:t>
      </w:r>
      <w:r w:rsidR="00CA2DE3">
        <w:t>global</w:t>
      </w:r>
      <w:r w:rsidR="009A09FE">
        <w:t xml:space="preserve"> visant à prévenir et </w:t>
      </w:r>
      <w:r w:rsidR="00503436">
        <w:t xml:space="preserve">à </w:t>
      </w:r>
      <w:r w:rsidR="009A09FE">
        <w:t xml:space="preserve">réprimer pénalement les violences </w:t>
      </w:r>
      <w:r w:rsidR="00503436">
        <w:t xml:space="preserve">commises </w:t>
      </w:r>
      <w:r w:rsidR="009A09FE">
        <w:t xml:space="preserve">envers les femmes ainsi qu’à protéger les victimes et les témoins de </w:t>
      </w:r>
      <w:r w:rsidR="008C1779">
        <w:t xml:space="preserve">ces </w:t>
      </w:r>
      <w:r w:rsidR="009A09FE">
        <w:t>violences. Le Comité est également préoccupé par le faible nombre de</w:t>
      </w:r>
      <w:r w:rsidR="008C1779">
        <w:t>s</w:t>
      </w:r>
      <w:r w:rsidR="009A09FE">
        <w:t xml:space="preserve"> plaintes</w:t>
      </w:r>
      <w:r w:rsidR="009A09FE" w:rsidRPr="00D629A7">
        <w:t xml:space="preserve"> </w:t>
      </w:r>
      <w:r w:rsidR="008C1779">
        <w:t>déposées</w:t>
      </w:r>
      <w:r w:rsidR="009A09FE">
        <w:t xml:space="preserve"> par</w:t>
      </w:r>
      <w:r w:rsidR="008C1779">
        <w:t xml:space="preserve"> les</w:t>
      </w:r>
      <w:r w:rsidR="009A09FE">
        <w:t xml:space="preserve"> victimes, par l’absence de procédure pénale </w:t>
      </w:r>
      <w:r w:rsidR="006C77D3">
        <w:t>ouverte</w:t>
      </w:r>
      <w:r w:rsidR="009A09FE">
        <w:t xml:space="preserve"> par le parquet, par le fait que les plaintes déposées ne </w:t>
      </w:r>
      <w:r w:rsidR="006C77D3">
        <w:t xml:space="preserve">font </w:t>
      </w:r>
      <w:r w:rsidR="009A09FE">
        <w:t xml:space="preserve">pas systématiquement l’objet d’enquêtes, y compris dans les cas de viol, </w:t>
      </w:r>
      <w:r w:rsidR="00315DE2">
        <w:t>mais aussi</w:t>
      </w:r>
      <w:r w:rsidR="006C77D3">
        <w:t xml:space="preserve"> </w:t>
      </w:r>
      <w:r w:rsidR="009A09FE">
        <w:t xml:space="preserve">par le fait que le fardeau de la preuve </w:t>
      </w:r>
      <w:r w:rsidR="00B21207">
        <w:t>s’avère</w:t>
      </w:r>
      <w:r w:rsidR="006C77D3">
        <w:t xml:space="preserve"> </w:t>
      </w:r>
      <w:r w:rsidR="009A09FE">
        <w:t xml:space="preserve">excessif et </w:t>
      </w:r>
      <w:r w:rsidR="006C77D3">
        <w:t xml:space="preserve">qu’il </w:t>
      </w:r>
      <w:r w:rsidR="009A09FE">
        <w:t xml:space="preserve">repose exclusivement sur la victime dans un contexte social où le risque de stigmatisation des victimes est important. De plus, </w:t>
      </w:r>
      <w:r w:rsidR="00FB1533">
        <w:t>le Comité est préoccupé par l’absence de</w:t>
      </w:r>
      <w:r w:rsidR="00E9098D">
        <w:t xml:space="preserve"> toute</w:t>
      </w:r>
      <w:r w:rsidR="00FB1533">
        <w:t xml:space="preserve"> disposition légale spécifique </w:t>
      </w:r>
      <w:r w:rsidR="006C77D3">
        <w:t>faisant</w:t>
      </w:r>
      <w:r w:rsidR="00FB1533">
        <w:t xml:space="preserve"> du viol conjugal un crime. Enfin, </w:t>
      </w:r>
      <w:r w:rsidR="009A09FE">
        <w:t xml:space="preserve">le Comité est vivement préoccupé par </w:t>
      </w:r>
      <w:r w:rsidR="00B21207">
        <w:t xml:space="preserve">le fait que </w:t>
      </w:r>
      <w:r w:rsidR="009A09FE">
        <w:t xml:space="preserve">le droit positif marocain </w:t>
      </w:r>
      <w:r w:rsidR="00B21207">
        <w:t xml:space="preserve">offre </w:t>
      </w:r>
      <w:r w:rsidR="009A09FE">
        <w:t>à l’auteur d</w:t>
      </w:r>
      <w:r w:rsidR="00B21207">
        <w:t>u</w:t>
      </w:r>
      <w:r w:rsidR="009A09FE">
        <w:t xml:space="preserve"> viol d’une mineure</w:t>
      </w:r>
      <w:r w:rsidR="00B21207">
        <w:t xml:space="preserve"> la possibilité</w:t>
      </w:r>
      <w:r w:rsidR="009A09FE">
        <w:t xml:space="preserve"> d’éluder sa responsabilité pénale en épousant la victime. </w:t>
      </w:r>
      <w:r w:rsidR="00B21207">
        <w:t>À</w:t>
      </w:r>
      <w:r w:rsidR="009A09FE">
        <w:t xml:space="preserve"> cet égard, le Comité regrette le manque d’informations sur le nombre de</w:t>
      </w:r>
      <w:r w:rsidR="00B21207">
        <w:t>s</w:t>
      </w:r>
      <w:r w:rsidR="009A09FE">
        <w:t xml:space="preserve"> cas dans lesquels la victime a épousé l’auteur du viol ou refusé un tel mariage</w:t>
      </w:r>
      <w:r w:rsidR="001B38ED">
        <w:t xml:space="preserve"> </w:t>
      </w:r>
      <w:r w:rsidR="009A09FE">
        <w:t>(art. 2, 12, 13 et 16)</w:t>
      </w:r>
      <w:r w:rsidR="001B38ED">
        <w:t>.</w:t>
      </w:r>
    </w:p>
    <w:p w:rsidR="009A09FE" w:rsidRPr="009A09FE" w:rsidRDefault="000F6347" w:rsidP="00DA1609">
      <w:pPr>
        <w:pStyle w:val="H23G"/>
        <w:jc w:val="both"/>
      </w:pPr>
      <w:r>
        <w:tab/>
      </w:r>
      <w:r>
        <w:tab/>
      </w:r>
      <w:r w:rsidR="009A09FE" w:rsidRPr="009A09FE">
        <w:t xml:space="preserve">Le Comité exhorte l’État partie à promulguer au plus vite une législation </w:t>
      </w:r>
      <w:r w:rsidR="002E38B2">
        <w:t>sur</w:t>
      </w:r>
      <w:r w:rsidR="002E38B2" w:rsidRPr="009A09FE">
        <w:t xml:space="preserve"> </w:t>
      </w:r>
      <w:r w:rsidR="009A09FE" w:rsidRPr="009A09FE">
        <w:t xml:space="preserve">la violence </w:t>
      </w:r>
      <w:r w:rsidR="002E38B2">
        <w:t>faite aux</w:t>
      </w:r>
      <w:r w:rsidR="009A09FE" w:rsidRPr="009A09FE">
        <w:t xml:space="preserve"> femmes et </w:t>
      </w:r>
      <w:r w:rsidR="002E38B2">
        <w:t>aux</w:t>
      </w:r>
      <w:r w:rsidR="002E38B2" w:rsidRPr="009A09FE">
        <w:t xml:space="preserve"> </w:t>
      </w:r>
      <w:r w:rsidR="009A09FE" w:rsidRPr="009A09FE">
        <w:t xml:space="preserve">filles </w:t>
      </w:r>
      <w:r w:rsidR="00EC0226">
        <w:t>de manière à</w:t>
      </w:r>
      <w:r w:rsidR="002E38B2" w:rsidRPr="009A09FE">
        <w:t xml:space="preserve"> </w:t>
      </w:r>
      <w:r w:rsidR="009A09FE" w:rsidRPr="009A09FE">
        <w:t>érige</w:t>
      </w:r>
      <w:r w:rsidR="00EC0226">
        <w:t>r</w:t>
      </w:r>
      <w:r w:rsidR="009A09FE" w:rsidRPr="009A09FE">
        <w:t xml:space="preserve"> en infraction</w:t>
      </w:r>
      <w:r w:rsidR="002E38B2">
        <w:t>s</w:t>
      </w:r>
      <w:r w:rsidR="009A09FE" w:rsidRPr="009A09FE">
        <w:t xml:space="preserve"> pénale</w:t>
      </w:r>
      <w:r w:rsidR="002E38B2">
        <w:t>s</w:t>
      </w:r>
      <w:r w:rsidR="009A09FE" w:rsidRPr="009A09FE">
        <w:t xml:space="preserve"> toutes les formes de violence à l’</w:t>
      </w:r>
      <w:r w:rsidR="002E38B2">
        <w:t xml:space="preserve">encontre </w:t>
      </w:r>
      <w:r w:rsidR="009A09FE" w:rsidRPr="009A09FE">
        <w:t>des femmes</w:t>
      </w:r>
      <w:r w:rsidR="00DA1609">
        <w:t xml:space="preserve">. L’État partie est en outre encouragé à </w:t>
      </w:r>
      <w:r w:rsidR="009A09FE" w:rsidRPr="009A09FE">
        <w:t>veille</w:t>
      </w:r>
      <w:r w:rsidR="00DA1609">
        <w:t>r</w:t>
      </w:r>
      <w:r w:rsidR="009A09FE" w:rsidRPr="009A09FE">
        <w:t xml:space="preserve"> à ce que les femmes et les filles victimes de violence</w:t>
      </w:r>
      <w:r w:rsidR="00E26FB7">
        <w:t>s</w:t>
      </w:r>
      <w:r w:rsidR="009A09FE" w:rsidRPr="009A09FE">
        <w:t xml:space="preserve"> aient immédiatement accès à des moyens de protection, y compris des foyers d’accueil, </w:t>
      </w:r>
      <w:r w:rsidR="00E26FB7">
        <w:t>qu’elles</w:t>
      </w:r>
      <w:r w:rsidR="00E26FB7" w:rsidRPr="009A09FE">
        <w:t xml:space="preserve"> </w:t>
      </w:r>
      <w:r w:rsidR="009A09FE" w:rsidRPr="009A09FE">
        <w:t xml:space="preserve">puissent obtenir réparation et que les auteurs soient poursuivis et punis comme il convient. </w:t>
      </w:r>
      <w:r w:rsidR="00FB1533" w:rsidRPr="0027352C">
        <w:t>Le Comité réitère à cet égard les recommandations du Comité pour l’élimination de la discrimination à l’égard des femmes.</w:t>
      </w:r>
      <w:r w:rsidR="00FB1533" w:rsidRPr="0027352C">
        <w:rPr>
          <w:sz w:val="18"/>
          <w:vertAlign w:val="superscript"/>
        </w:rPr>
        <w:footnoteReference w:id="6"/>
      </w:r>
      <w:r w:rsidR="00FB1533" w:rsidRPr="0027352C">
        <w:t xml:space="preserve"> </w:t>
      </w:r>
      <w:r w:rsidR="009A09FE" w:rsidRPr="0027352C">
        <w:t>L’</w:t>
      </w:r>
      <w:r w:rsidR="00643C2B" w:rsidRPr="0027352C">
        <w:t>État</w:t>
      </w:r>
      <w:r w:rsidR="009A09FE" w:rsidRPr="0027352C">
        <w:t xml:space="preserve"> partie devrait modifier sans plus tarder le Code pénal </w:t>
      </w:r>
      <w:r w:rsidR="0027352C">
        <w:t>de manière à</w:t>
      </w:r>
      <w:r w:rsidR="00E31656">
        <w:t xml:space="preserve"> </w:t>
      </w:r>
      <w:r w:rsidR="009A09FE" w:rsidRPr="0027352C">
        <w:t xml:space="preserve">criminaliser le viol conjugal et </w:t>
      </w:r>
      <w:r w:rsidR="00074863">
        <w:t xml:space="preserve">à </w:t>
      </w:r>
      <w:r w:rsidR="009A09FE" w:rsidRPr="0027352C">
        <w:t>s’assurer que les auteurs de viols n’échappent pas aux poursuites pénales quand ils épousent leur victime. Il devrait</w:t>
      </w:r>
      <w:r w:rsidR="009A09FE" w:rsidRPr="009A09FE">
        <w:t xml:space="preserve"> aussi </w:t>
      </w:r>
      <w:r w:rsidR="000F271B">
        <w:t>procéder à</w:t>
      </w:r>
      <w:r w:rsidR="009A09FE" w:rsidRPr="009A09FE">
        <w:t xml:space="preserve"> des études sur les causes et l’ampleur de la violence à l’</w:t>
      </w:r>
      <w:r w:rsidR="000F271B">
        <w:t xml:space="preserve">encontre </w:t>
      </w:r>
      <w:r w:rsidR="009A09FE" w:rsidRPr="009A09FE">
        <w:t>des femmes et des filles, y compris la violence sexuelle et la violence dans la famille</w:t>
      </w:r>
      <w:r w:rsidR="001A076C">
        <w:t xml:space="preserve">. En outre, l’État partie devrait </w:t>
      </w:r>
      <w:r w:rsidR="009A09FE" w:rsidRPr="009A09FE">
        <w:t xml:space="preserve">présenter dans son prochain rapport au Comité des informations sur les lois et </w:t>
      </w:r>
      <w:r w:rsidR="000F271B">
        <w:t xml:space="preserve">les </w:t>
      </w:r>
      <w:r w:rsidR="009A09FE" w:rsidRPr="009A09FE">
        <w:t xml:space="preserve">politiques en vigueur </w:t>
      </w:r>
      <w:r w:rsidR="00C145AB">
        <w:t>pour</w:t>
      </w:r>
      <w:r w:rsidR="009A09FE" w:rsidRPr="009A09FE">
        <w:t xml:space="preserve"> lutter contre les violences envers les femmes et rendre compte des effets des mesures prises. </w:t>
      </w:r>
    </w:p>
    <w:p w:rsidR="009A09FE" w:rsidRPr="009A09FE" w:rsidRDefault="009A09FE" w:rsidP="00E44BBF">
      <w:pPr>
        <w:pStyle w:val="H23G"/>
        <w:jc w:val="both"/>
      </w:pPr>
      <w:r w:rsidRPr="009A09FE">
        <w:tab/>
      </w:r>
      <w:r w:rsidRPr="009A09FE">
        <w:tab/>
        <w:t>Châtiments corporels</w:t>
      </w:r>
    </w:p>
    <w:p w:rsidR="009A09FE" w:rsidRDefault="00E968A2" w:rsidP="00566478">
      <w:pPr>
        <w:pStyle w:val="SingleTxtG"/>
      </w:pPr>
      <w:r>
        <w:t>2</w:t>
      </w:r>
      <w:r w:rsidR="0029211D">
        <w:t>4</w:t>
      </w:r>
      <w:r w:rsidR="009A09FE">
        <w:t>.</w:t>
      </w:r>
      <w:r w:rsidR="009A09FE">
        <w:tab/>
        <w:t xml:space="preserve">Le Comité note avec préoccupation l’absence de disposition dans la législation marocaine prohibant le recours aux châtiments corporels </w:t>
      </w:r>
      <w:r w:rsidR="00566478">
        <w:t>au sein</w:t>
      </w:r>
      <w:r w:rsidR="009A09FE">
        <w:t xml:space="preserve"> de la famille, de l’école et des institutions </w:t>
      </w:r>
      <w:r w:rsidR="00AC67FC">
        <w:t xml:space="preserve">chargées </w:t>
      </w:r>
      <w:r w:rsidR="009A09FE">
        <w:t xml:space="preserve">de </w:t>
      </w:r>
      <w:r w:rsidR="00AC67FC">
        <w:t xml:space="preserve">la </w:t>
      </w:r>
      <w:r w:rsidR="009A09FE">
        <w:t>protection de l’enfance (art. 16)</w:t>
      </w:r>
      <w:r w:rsidR="001B38ED">
        <w:t>.</w:t>
      </w:r>
    </w:p>
    <w:p w:rsidR="009A09FE" w:rsidRPr="009A09FE" w:rsidRDefault="005A5B00" w:rsidP="00D12AA5">
      <w:pPr>
        <w:pStyle w:val="H23G"/>
        <w:jc w:val="both"/>
      </w:pPr>
      <w:r>
        <w:tab/>
      </w:r>
      <w:r>
        <w:tab/>
      </w:r>
      <w:r w:rsidR="009A09FE" w:rsidRPr="009A09FE">
        <w:t>L’</w:t>
      </w:r>
      <w:r w:rsidR="00643C2B">
        <w:t>État</w:t>
      </w:r>
      <w:r w:rsidR="009A09FE" w:rsidRPr="009A09FE">
        <w:t xml:space="preserve"> partie devrait modifier sa législation afin d’interdire le recours aux châtiments corporels dans l’éducation des enfants, </w:t>
      </w:r>
      <w:r w:rsidR="00AC67FC">
        <w:t xml:space="preserve">tant au sein de la </w:t>
      </w:r>
      <w:r w:rsidR="009A09FE" w:rsidRPr="009A09FE">
        <w:t>famille</w:t>
      </w:r>
      <w:r w:rsidR="00AC67FC">
        <w:t xml:space="preserve"> que </w:t>
      </w:r>
      <w:r w:rsidR="009A09FE" w:rsidRPr="009A09FE">
        <w:t xml:space="preserve">dans les centres de protection de l’enfance. Il devrait aussi sensibiliser le public </w:t>
      </w:r>
      <w:r w:rsidR="00AC67FC">
        <w:t>aux</w:t>
      </w:r>
      <w:r w:rsidR="009A09FE" w:rsidRPr="009A09FE">
        <w:t xml:space="preserve"> formes positives, participatives et non violentes de discipline.</w:t>
      </w:r>
    </w:p>
    <w:p w:rsidR="009A09FE" w:rsidRPr="009A09FE" w:rsidRDefault="005A5B00" w:rsidP="00E44BBF">
      <w:pPr>
        <w:pStyle w:val="H23G"/>
        <w:jc w:val="both"/>
      </w:pPr>
      <w:r>
        <w:tab/>
      </w:r>
      <w:r>
        <w:tab/>
      </w:r>
      <w:r w:rsidR="009A09FE" w:rsidRPr="009A09FE">
        <w:t xml:space="preserve">Traitement des réfugiés et </w:t>
      </w:r>
      <w:r w:rsidR="00BD0938">
        <w:t xml:space="preserve">des </w:t>
      </w:r>
      <w:r w:rsidR="009A09FE" w:rsidRPr="009A09FE">
        <w:t xml:space="preserve">demandeurs d’asile </w:t>
      </w:r>
    </w:p>
    <w:p w:rsidR="009A09FE" w:rsidRDefault="00E968A2" w:rsidP="00874B50">
      <w:pPr>
        <w:pStyle w:val="SingleTxtG"/>
      </w:pPr>
      <w:r>
        <w:t>2</w:t>
      </w:r>
      <w:r w:rsidR="0029211D">
        <w:t>5</w:t>
      </w:r>
      <w:r w:rsidR="009A09FE">
        <w:t>.</w:t>
      </w:r>
      <w:r w:rsidR="009A09FE">
        <w:tab/>
        <w:t>Le Comité prend note des informations transmises par l’</w:t>
      </w:r>
      <w:r w:rsidR="00643C2B">
        <w:t>État</w:t>
      </w:r>
      <w:r w:rsidR="009A09FE">
        <w:t xml:space="preserve"> partie concernant sa collaboration accrue avec le Haut-Commissariat </w:t>
      </w:r>
      <w:r w:rsidR="00BD0938">
        <w:t>des Nations Unies pour les r</w:t>
      </w:r>
      <w:r w:rsidR="009A09FE">
        <w:t xml:space="preserve">éfugiés, notamment </w:t>
      </w:r>
      <w:r w:rsidR="009B5DAC">
        <w:t xml:space="preserve">dans le domaine du </w:t>
      </w:r>
      <w:r w:rsidR="009A09FE">
        <w:t xml:space="preserve">renforcement des capacités </w:t>
      </w:r>
      <w:r w:rsidR="009B5DAC">
        <w:t xml:space="preserve">de l’État partie </w:t>
      </w:r>
      <w:r w:rsidR="009A09FE">
        <w:t>en matière d’accueil, d’identification et de protection des demandeurs d’asile et des réfugiés. Il s’inquiète néanmoins de l’absence d</w:t>
      </w:r>
      <w:r w:rsidR="00E6597A">
        <w:t>’un</w:t>
      </w:r>
      <w:r w:rsidR="009A09FE">
        <w:t xml:space="preserve"> cadre juridique spécifique </w:t>
      </w:r>
      <w:r w:rsidR="009B5DAC">
        <w:t xml:space="preserve">pour les </w:t>
      </w:r>
      <w:r w:rsidR="009A09FE">
        <w:t xml:space="preserve">réfugiés et </w:t>
      </w:r>
      <w:r w:rsidR="00195426">
        <w:t xml:space="preserve">les </w:t>
      </w:r>
      <w:r w:rsidR="009A09FE">
        <w:t xml:space="preserve">demandeurs d’asile qui permettrait d’empêcher tout </w:t>
      </w:r>
      <w:r w:rsidR="00E6597A">
        <w:t xml:space="preserve">amalgame </w:t>
      </w:r>
      <w:r w:rsidR="009A09FE">
        <w:t xml:space="preserve">avec les migrants clandestins. Le Comité est préoccupé par le fait qu’en l’état actuel des choses les demandeurs d’asile ne sont pas toujours en mesure de déposer leur demande d’asile auprès des autorités compétentes, en particulier aux points d’entrée sur le territoire marocain où ils sont souvent </w:t>
      </w:r>
      <w:r w:rsidR="004C4A79">
        <w:t xml:space="preserve">assimilés à </w:t>
      </w:r>
      <w:r w:rsidR="009A09FE">
        <w:t xml:space="preserve">des immigrés clandestins. Le Comité est également préoccupé par l’absence d’un office </w:t>
      </w:r>
      <w:r w:rsidR="00874B50">
        <w:t>spécifique</w:t>
      </w:r>
      <w:r w:rsidR="004C4A79">
        <w:t xml:space="preserve"> offrant aux </w:t>
      </w:r>
      <w:r w:rsidR="009A09FE">
        <w:t xml:space="preserve">réfugiés et </w:t>
      </w:r>
      <w:r w:rsidR="004C4A79">
        <w:t xml:space="preserve">aux </w:t>
      </w:r>
      <w:r w:rsidR="009A09FE">
        <w:t>apatrides un traitement diligent et efficace de</w:t>
      </w:r>
      <w:r w:rsidR="00874B50">
        <w:t xml:space="preserve"> leur</w:t>
      </w:r>
      <w:r w:rsidR="009A09FE">
        <w:t xml:space="preserve"> demande d’asile, et garanti</w:t>
      </w:r>
      <w:r w:rsidR="004C4A79">
        <w:t>ssant</w:t>
      </w:r>
      <w:r w:rsidR="009A09FE">
        <w:t xml:space="preserve"> aux réfugiés la jouissance de l’ensemble de leurs droits sur le territoire </w:t>
      </w:r>
      <w:r w:rsidR="004C4A79">
        <w:t>m</w:t>
      </w:r>
      <w:r w:rsidR="009A09FE">
        <w:t>arocain</w:t>
      </w:r>
      <w:r w:rsidR="001B38ED">
        <w:t xml:space="preserve"> </w:t>
      </w:r>
      <w:r w:rsidR="009A09FE">
        <w:t xml:space="preserve"> (art. 2, 3</w:t>
      </w:r>
      <w:r w:rsidR="004C4A79">
        <w:t xml:space="preserve"> </w:t>
      </w:r>
      <w:r w:rsidR="009A09FE">
        <w:t>et 16)</w:t>
      </w:r>
      <w:r w:rsidR="001B38ED">
        <w:t>.</w:t>
      </w:r>
    </w:p>
    <w:p w:rsidR="009A09FE" w:rsidRPr="009A09FE" w:rsidRDefault="005A5B00" w:rsidP="00EF53AA">
      <w:pPr>
        <w:pStyle w:val="H23G"/>
        <w:jc w:val="both"/>
      </w:pPr>
      <w:r>
        <w:tab/>
      </w:r>
      <w:r>
        <w:tab/>
      </w:r>
      <w:r w:rsidR="009A09FE" w:rsidRPr="009A09FE">
        <w:t>L’</w:t>
      </w:r>
      <w:r w:rsidR="00643C2B">
        <w:t>État</w:t>
      </w:r>
      <w:r w:rsidR="009A09FE" w:rsidRPr="009A09FE">
        <w:t xml:space="preserve"> partie devrait établir un cadre juridique </w:t>
      </w:r>
      <w:r w:rsidR="007A5257">
        <w:t>en vue de</w:t>
      </w:r>
      <w:r w:rsidR="007A5257" w:rsidRPr="009A09FE">
        <w:t xml:space="preserve"> </w:t>
      </w:r>
      <w:r w:rsidR="009A09FE" w:rsidRPr="009A09FE">
        <w:t>garant</w:t>
      </w:r>
      <w:r w:rsidR="007A5257">
        <w:t xml:space="preserve">ir </w:t>
      </w:r>
      <w:r w:rsidR="009A09FE" w:rsidRPr="009A09FE">
        <w:t xml:space="preserve">les droits des réfugiés et des demandeurs d’asile et développer les instruments institutionnels et administratifs </w:t>
      </w:r>
      <w:r w:rsidR="00422E8A">
        <w:t>propres à</w:t>
      </w:r>
      <w:r w:rsidR="009A09FE" w:rsidRPr="009A09FE">
        <w:t xml:space="preserve"> mettre en œuvre cette protection, notamment en renfor</w:t>
      </w:r>
      <w:r w:rsidR="00422E8A">
        <w:t>ça</w:t>
      </w:r>
      <w:r w:rsidR="009A09FE" w:rsidRPr="009A09FE">
        <w:t xml:space="preserve">nt sa coopération avec le Haut-Commissariat </w:t>
      </w:r>
      <w:r w:rsidR="00422E8A">
        <w:t>des Nations Unies pour les r</w:t>
      </w:r>
      <w:r w:rsidR="009A09FE" w:rsidRPr="009A09FE">
        <w:t xml:space="preserve">éfugiés et en octroyant </w:t>
      </w:r>
      <w:r w:rsidR="003D2D36">
        <w:t xml:space="preserve">au Haut-Commissariat </w:t>
      </w:r>
      <w:r w:rsidR="009A09FE" w:rsidRPr="009A09FE">
        <w:t xml:space="preserve">un statut d’observateur </w:t>
      </w:r>
      <w:r w:rsidR="00DE5F60">
        <w:t>au cours du</w:t>
      </w:r>
      <w:r w:rsidR="009A09FE" w:rsidRPr="009A09FE">
        <w:t xml:space="preserve"> processus de réforme du système d’asile. Il devrait s’assurer </w:t>
      </w:r>
      <w:r w:rsidR="005C32AF">
        <w:t xml:space="preserve">de la mise en place </w:t>
      </w:r>
      <w:r w:rsidR="009A09FE" w:rsidRPr="009A09FE">
        <w:t xml:space="preserve">des procédures et des mécanismes </w:t>
      </w:r>
      <w:r w:rsidR="005C32AF">
        <w:t>propres à</w:t>
      </w:r>
      <w:r w:rsidR="009A09FE" w:rsidRPr="009A09FE">
        <w:t xml:space="preserve"> garantir l’identification systématique des demandeurs d’asile potentiels à tous les points d’entrée sur le territoire marocain</w:t>
      </w:r>
      <w:r w:rsidR="003D2D36">
        <w:t xml:space="preserve">. L’État partie devrait en outre </w:t>
      </w:r>
      <w:r w:rsidR="009A09FE" w:rsidRPr="009A09FE">
        <w:t xml:space="preserve">permettre </w:t>
      </w:r>
      <w:r w:rsidR="006F643B">
        <w:t xml:space="preserve">à ces personnes </w:t>
      </w:r>
      <w:r w:rsidR="009A09FE" w:rsidRPr="009A09FE">
        <w:t xml:space="preserve">de déposer leur demande d’asile. </w:t>
      </w:r>
      <w:r w:rsidR="009C7E09">
        <w:t>Ces</w:t>
      </w:r>
      <w:r w:rsidR="009A09FE" w:rsidRPr="009A09FE">
        <w:t xml:space="preserve"> mécanismes devraient </w:t>
      </w:r>
      <w:r w:rsidR="005C32AF">
        <w:t>également</w:t>
      </w:r>
      <w:r w:rsidR="005C32AF" w:rsidRPr="009A09FE">
        <w:t xml:space="preserve"> </w:t>
      </w:r>
      <w:r w:rsidR="009A09FE" w:rsidRPr="00F35039">
        <w:t xml:space="preserve">garantir que </w:t>
      </w:r>
      <w:r w:rsidR="005C32AF" w:rsidRPr="00F35039">
        <w:t xml:space="preserve">la </w:t>
      </w:r>
      <w:r w:rsidR="009A09FE" w:rsidRPr="00F35039">
        <w:t xml:space="preserve">décision </w:t>
      </w:r>
      <w:r w:rsidR="005C32AF" w:rsidRPr="00F35039">
        <w:t>rendue</w:t>
      </w:r>
      <w:r w:rsidR="005D5873" w:rsidRPr="00F35039">
        <w:t xml:space="preserve"> </w:t>
      </w:r>
      <w:r w:rsidR="00EF53AA">
        <w:t>soit</w:t>
      </w:r>
      <w:r w:rsidR="009A09FE" w:rsidRPr="00F35039">
        <w:t xml:space="preserve"> susceptible</w:t>
      </w:r>
      <w:r w:rsidR="009A09FE" w:rsidRPr="009A09FE">
        <w:t xml:space="preserve"> d’un recours avec effet suspensif et que </w:t>
      </w:r>
      <w:r w:rsidR="00D560BE">
        <w:t xml:space="preserve">la </w:t>
      </w:r>
      <w:r w:rsidR="009A09FE" w:rsidRPr="009A09FE">
        <w:t xml:space="preserve">personne </w:t>
      </w:r>
      <w:r w:rsidR="00F35039">
        <w:t>n</w:t>
      </w:r>
      <w:r w:rsidR="00EF53AA">
        <w:t xml:space="preserve">e soit </w:t>
      </w:r>
      <w:r w:rsidR="00D560BE">
        <w:t xml:space="preserve">pas </w:t>
      </w:r>
      <w:r w:rsidR="009A09FE" w:rsidRPr="009A09FE">
        <w:t>refoulé</w:t>
      </w:r>
      <w:r w:rsidR="00D560BE">
        <w:t>e</w:t>
      </w:r>
      <w:r w:rsidR="009A09FE" w:rsidRPr="009A09FE">
        <w:t xml:space="preserve"> vers un pays où </w:t>
      </w:r>
      <w:r w:rsidR="005D5873" w:rsidRPr="00F35039">
        <w:t>existe</w:t>
      </w:r>
      <w:r w:rsidR="00E31656" w:rsidRPr="00F35039">
        <w:t xml:space="preserve"> </w:t>
      </w:r>
      <w:r w:rsidR="009A09FE" w:rsidRPr="00F35039">
        <w:t>un risque de torture</w:t>
      </w:r>
      <w:r w:rsidR="009A09FE" w:rsidRPr="009A09FE">
        <w:t xml:space="preserve">. </w:t>
      </w:r>
    </w:p>
    <w:p w:rsidR="009A09FE" w:rsidRPr="009A09FE" w:rsidRDefault="005A5B00" w:rsidP="000F0344">
      <w:pPr>
        <w:pStyle w:val="H23G"/>
        <w:jc w:val="both"/>
      </w:pPr>
      <w:r>
        <w:tab/>
      </w:r>
      <w:r>
        <w:tab/>
      </w:r>
      <w:r w:rsidR="009A09FE" w:rsidRPr="009A09FE">
        <w:t>L’</w:t>
      </w:r>
      <w:r w:rsidR="00643C2B">
        <w:t>État</w:t>
      </w:r>
      <w:r w:rsidR="009A09FE" w:rsidRPr="009A09FE">
        <w:t xml:space="preserve"> partie devrait envisager d’adhérer à la Convention relative au statut des apatrides </w:t>
      </w:r>
      <w:r w:rsidR="000F0344">
        <w:t>(</w:t>
      </w:r>
      <w:r w:rsidR="009A09FE" w:rsidRPr="009A09FE">
        <w:t>1954</w:t>
      </w:r>
      <w:r w:rsidR="000F0344">
        <w:t>)</w:t>
      </w:r>
      <w:r w:rsidR="009A09FE" w:rsidRPr="009A09FE">
        <w:t xml:space="preserve"> et à la Convention sur la réduction des cas d’apatridie </w:t>
      </w:r>
      <w:r w:rsidR="000F0344">
        <w:t>(</w:t>
      </w:r>
      <w:r w:rsidR="009A09FE" w:rsidRPr="009A09FE">
        <w:t>196</w:t>
      </w:r>
      <w:r w:rsidR="000F0344">
        <w:t>1)</w:t>
      </w:r>
      <w:r w:rsidR="009A09FE" w:rsidRPr="009A09FE">
        <w:t>.</w:t>
      </w:r>
    </w:p>
    <w:p w:rsidR="009A09FE" w:rsidRPr="009A09FE" w:rsidRDefault="005A5B00" w:rsidP="00E44BBF">
      <w:pPr>
        <w:pStyle w:val="H23G"/>
        <w:jc w:val="both"/>
      </w:pPr>
      <w:r>
        <w:tab/>
      </w:r>
      <w:r>
        <w:tab/>
      </w:r>
      <w:r w:rsidR="009A09FE" w:rsidRPr="009A09FE">
        <w:t>Traitement des migrants et des étrangers</w:t>
      </w:r>
    </w:p>
    <w:p w:rsidR="009A09FE" w:rsidRPr="006F4630" w:rsidRDefault="00E968A2" w:rsidP="00FA70D7">
      <w:pPr>
        <w:pStyle w:val="SingleTxtG"/>
      </w:pPr>
      <w:r>
        <w:t>2</w:t>
      </w:r>
      <w:r w:rsidR="0029211D">
        <w:t>6</w:t>
      </w:r>
      <w:r w:rsidR="009A09FE">
        <w:t>.</w:t>
      </w:r>
      <w:r w:rsidR="009A09FE">
        <w:tab/>
        <w:t>Le Comité prend note des informations fournies par l’</w:t>
      </w:r>
      <w:r w:rsidR="00643C2B">
        <w:t>État</w:t>
      </w:r>
      <w:r w:rsidR="009A09FE">
        <w:t xml:space="preserve"> partie relative au cadre juridique régissant les mesures d’éloignement des migrants illégaux, notamment en vertu de la loi </w:t>
      </w:r>
      <w:r w:rsidR="0059294C">
        <w:t>n</w:t>
      </w:r>
      <w:r w:rsidR="0059294C" w:rsidRPr="0059294C">
        <w:rPr>
          <w:vertAlign w:val="superscript"/>
        </w:rPr>
        <w:t>o</w:t>
      </w:r>
      <w:r w:rsidR="0059294C">
        <w:t xml:space="preserve"> </w:t>
      </w:r>
      <w:r w:rsidR="009A09FE">
        <w:t>02-03 relative à l’entrée et au séjour des étrangers au Maroc</w:t>
      </w:r>
      <w:r w:rsidR="00DD741E">
        <w:t>,</w:t>
      </w:r>
      <w:r w:rsidR="009A09FE">
        <w:t xml:space="preserve"> </w:t>
      </w:r>
      <w:r w:rsidR="00DD741E">
        <w:t xml:space="preserve">ainsi que </w:t>
      </w:r>
      <w:r w:rsidR="009A09FE">
        <w:t>des exemples de reconduites d’étrangers effectué</w:t>
      </w:r>
      <w:r w:rsidR="00DB31AA">
        <w:t>e</w:t>
      </w:r>
      <w:r w:rsidR="009A09FE">
        <w:t xml:space="preserve">s en conformité avec </w:t>
      </w:r>
      <w:r w:rsidR="00DB31AA">
        <w:t>l</w:t>
      </w:r>
      <w:r w:rsidR="009A09FE">
        <w:t>es dispositions</w:t>
      </w:r>
      <w:r w:rsidR="00DB31AA">
        <w:t xml:space="preserve"> de la loi précitée</w:t>
      </w:r>
      <w:r w:rsidR="009A09FE">
        <w:t>. Il reste toutefois préoccupé par les informations reçues selon lesquelles</w:t>
      </w:r>
      <w:r w:rsidR="00952863">
        <w:t>,</w:t>
      </w:r>
      <w:r w:rsidR="009A09FE">
        <w:t xml:space="preserve"> dans la pratique, des migrants illégaux </w:t>
      </w:r>
      <w:r w:rsidR="00C47599">
        <w:t xml:space="preserve">ont été reconduits à la frontière ou expulsés en violation des lois </w:t>
      </w:r>
      <w:r w:rsidR="00952863">
        <w:t>m</w:t>
      </w:r>
      <w:r w:rsidR="00C47599">
        <w:t xml:space="preserve">arocaines, sans avoir eu la possibilité de faire valoir leurs droits. </w:t>
      </w:r>
      <w:r w:rsidR="00DD4C3B">
        <w:t>S</w:t>
      </w:r>
      <w:r w:rsidR="00020738">
        <w:t>uivant</w:t>
      </w:r>
      <w:r w:rsidR="00DD4C3B">
        <w:t xml:space="preserve"> plusieurs allégations, </w:t>
      </w:r>
      <w:r w:rsidR="00C47599">
        <w:t>des centaines d’entre</w:t>
      </w:r>
      <w:r w:rsidR="00370473">
        <w:t xml:space="preserve"> eux</w:t>
      </w:r>
      <w:r w:rsidR="00C47599">
        <w:t xml:space="preserve"> auraient </w:t>
      </w:r>
      <w:r w:rsidR="009A09FE">
        <w:t xml:space="preserve"> été abandonnés dans le désert sans eau ni nourriture. Le Comité déplore le manque d’information sur </w:t>
      </w:r>
      <w:r w:rsidR="00A039CE">
        <w:t>ces</w:t>
      </w:r>
      <w:r w:rsidR="009A09FE">
        <w:t xml:space="preserve"> évènements de la part de l’</w:t>
      </w:r>
      <w:r w:rsidR="00643C2B">
        <w:t>État</w:t>
      </w:r>
      <w:r w:rsidR="009A09FE">
        <w:t xml:space="preserve"> partie, ainsi que sur les lieux et les régimes de détention </w:t>
      </w:r>
      <w:r w:rsidR="00A039CE">
        <w:t>d</w:t>
      </w:r>
      <w:r w:rsidR="009A09FE">
        <w:t xml:space="preserve">es étrangers en attente d’expulsion qui ne relèvent pas de l’administration pénitentiaire. Le Comité déplore enfin le manque d’information </w:t>
      </w:r>
      <w:r w:rsidR="00FA70D7">
        <w:t>au sujet d</w:t>
      </w:r>
      <w:r w:rsidR="009A09FE">
        <w:t>es enquêtes éventuellement menées sur les violences commises par les forces de l’ordre à l’</w:t>
      </w:r>
      <w:r w:rsidR="0011004E">
        <w:t xml:space="preserve">encontre </w:t>
      </w:r>
      <w:r w:rsidR="009A09FE">
        <w:t>des clandestins dans les régions de Ceuta et Melilla en 2005</w:t>
      </w:r>
      <w:r w:rsidR="008C7241">
        <w:t xml:space="preserve"> </w:t>
      </w:r>
      <w:r w:rsidR="009A09FE">
        <w:t>(art. 3, 12, 13 et 16)</w:t>
      </w:r>
      <w:r w:rsidR="008C7241">
        <w:t>.</w:t>
      </w:r>
    </w:p>
    <w:p w:rsidR="009A09FE" w:rsidRPr="009A09FE" w:rsidRDefault="005A5B00" w:rsidP="008E37AB">
      <w:pPr>
        <w:pStyle w:val="H23G"/>
        <w:jc w:val="both"/>
      </w:pPr>
      <w:r>
        <w:tab/>
      </w:r>
      <w:r>
        <w:tab/>
      </w:r>
      <w:r w:rsidR="009A09FE" w:rsidRPr="009A09FE">
        <w:t>L’</w:t>
      </w:r>
      <w:r w:rsidR="00643C2B">
        <w:t>État</w:t>
      </w:r>
      <w:r w:rsidR="009A09FE" w:rsidRPr="009A09FE">
        <w:t xml:space="preserve"> partie devrait prendre des mesures </w:t>
      </w:r>
      <w:r w:rsidR="004C2946">
        <w:t>visant à</w:t>
      </w:r>
      <w:r w:rsidR="009A09FE" w:rsidRPr="009A09FE">
        <w:t xml:space="preserve"> garantir que les garanties légales régissant les reconduites à la frontière de</w:t>
      </w:r>
      <w:r w:rsidR="007038C2">
        <w:t>s</w:t>
      </w:r>
      <w:r w:rsidR="009A09FE" w:rsidRPr="009A09FE">
        <w:t xml:space="preserve"> migrants illégaux et l’expulsion d</w:t>
      </w:r>
      <w:r w:rsidR="007038C2">
        <w:t xml:space="preserve">es </w:t>
      </w:r>
      <w:r w:rsidR="009A09FE" w:rsidRPr="009A09FE">
        <w:t xml:space="preserve">étrangers </w:t>
      </w:r>
      <w:r w:rsidR="00AF3F0D">
        <w:t>so</w:t>
      </w:r>
      <w:r w:rsidR="008E37AB">
        <w:t>ie</w:t>
      </w:r>
      <w:r w:rsidR="00AF3F0D">
        <w:t>nt</w:t>
      </w:r>
      <w:r w:rsidR="00AF3F0D" w:rsidRPr="009A09FE">
        <w:t xml:space="preserve"> </w:t>
      </w:r>
      <w:r w:rsidR="009A09FE" w:rsidRPr="009A09FE">
        <w:t>toujours mises en œuvre dans la pratique</w:t>
      </w:r>
      <w:r w:rsidR="00C47599">
        <w:t xml:space="preserve"> et </w:t>
      </w:r>
      <w:r w:rsidR="007038C2">
        <w:t xml:space="preserve">que les reconduites et les expulsions </w:t>
      </w:r>
      <w:r w:rsidR="00C47599">
        <w:t>so</w:t>
      </w:r>
      <w:r w:rsidR="008E37AB">
        <w:t>ie</w:t>
      </w:r>
      <w:r w:rsidR="00C47599">
        <w:t>nt conformes à la loi marocaine</w:t>
      </w:r>
      <w:r w:rsidR="009A09FE" w:rsidRPr="009A09FE">
        <w:t xml:space="preserve">. Il devrait mener des enquêtes impartiales et efficaces sur les allégations </w:t>
      </w:r>
      <w:r w:rsidR="004C2946">
        <w:t xml:space="preserve">selon lesquelles </w:t>
      </w:r>
      <w:r w:rsidR="009A09FE" w:rsidRPr="009A09FE">
        <w:t>d</w:t>
      </w:r>
      <w:r w:rsidR="004C2946">
        <w:t xml:space="preserve">es </w:t>
      </w:r>
      <w:r w:rsidR="009A09FE" w:rsidRPr="009A09FE">
        <w:t xml:space="preserve">expulsions de migrants </w:t>
      </w:r>
      <w:r w:rsidR="00C47599">
        <w:t>se seraient accompagnées</w:t>
      </w:r>
      <w:r w:rsidR="009A09FE" w:rsidRPr="009A09FE">
        <w:t xml:space="preserve"> d</w:t>
      </w:r>
      <w:r w:rsidR="00A809E1">
        <w:t>’</w:t>
      </w:r>
      <w:r w:rsidR="00FC0035">
        <w:t>u</w:t>
      </w:r>
      <w:r w:rsidR="00A809E1">
        <w:t>n</w:t>
      </w:r>
      <w:r w:rsidR="00FC0035">
        <w:t xml:space="preserve"> </w:t>
      </w:r>
      <w:r w:rsidR="009A09FE" w:rsidRPr="009A09FE">
        <w:t xml:space="preserve">recours excessif à la force </w:t>
      </w:r>
      <w:r w:rsidR="00C47599">
        <w:t>ou de mauvais traitements</w:t>
      </w:r>
      <w:r w:rsidR="00A809E1" w:rsidRPr="00A809E1">
        <w:t xml:space="preserve"> </w:t>
      </w:r>
      <w:r w:rsidR="008E37AB">
        <w:t>à l’endroit d</w:t>
      </w:r>
      <w:r w:rsidR="00A809E1" w:rsidRPr="009A09FE">
        <w:t>es migrants</w:t>
      </w:r>
      <w:r w:rsidR="00FC0035">
        <w:t xml:space="preserve">. En outre, </w:t>
      </w:r>
      <w:r w:rsidR="0091760B">
        <w:t>l’État partie</w:t>
      </w:r>
      <w:r w:rsidR="00FC0035">
        <w:t xml:space="preserve"> devrait</w:t>
      </w:r>
      <w:r w:rsidR="009A09FE" w:rsidRPr="009A09FE">
        <w:t xml:space="preserve"> faire en sorte que les responsables soient traduits en justice et qu</w:t>
      </w:r>
      <w:r w:rsidR="00032EA6">
        <w:t xml:space="preserve">’il leur soit infligé </w:t>
      </w:r>
      <w:r w:rsidR="009A09FE" w:rsidRPr="009A09FE">
        <w:t>des peines</w:t>
      </w:r>
      <w:r w:rsidR="00032EA6">
        <w:t xml:space="preserve"> à</w:t>
      </w:r>
      <w:r w:rsidR="00E31656">
        <w:t xml:space="preserve"> </w:t>
      </w:r>
      <w:r w:rsidR="009A09FE" w:rsidRPr="009A09FE">
        <w:t xml:space="preserve">la </w:t>
      </w:r>
      <w:r w:rsidR="009A09FE" w:rsidRPr="00AF4650">
        <w:t>mesure</w:t>
      </w:r>
      <w:r w:rsidR="009A09FE" w:rsidRPr="009A09FE">
        <w:t xml:space="preserve"> de la gravité de leurs actes. </w:t>
      </w:r>
    </w:p>
    <w:p w:rsidR="009A09FE" w:rsidRPr="009A09FE" w:rsidRDefault="005A5B00" w:rsidP="00E238D7">
      <w:pPr>
        <w:pStyle w:val="H23G"/>
        <w:jc w:val="both"/>
      </w:pPr>
      <w:r>
        <w:tab/>
      </w:r>
      <w:r>
        <w:tab/>
      </w:r>
      <w:r w:rsidR="009A09FE" w:rsidRPr="009A09FE">
        <w:t>Il est demandé à l’</w:t>
      </w:r>
      <w:r w:rsidR="00643C2B">
        <w:t>État</w:t>
      </w:r>
      <w:r w:rsidR="009A09FE" w:rsidRPr="009A09FE">
        <w:t xml:space="preserve"> partie de fournir dans son prochain rapport des informations détaillées sur les lieux de détention et les régimes de détention des étrangers en attente d’expulsion ainsi que des données ventilées par année, genre, lieu, durée de détention et raison justifiant </w:t>
      </w:r>
      <w:r w:rsidR="00E238D7">
        <w:t>la</w:t>
      </w:r>
      <w:r w:rsidR="00E238D7" w:rsidRPr="009A09FE">
        <w:t xml:space="preserve"> </w:t>
      </w:r>
      <w:r w:rsidR="009A09FE" w:rsidRPr="009A09FE">
        <w:t xml:space="preserve">détention et </w:t>
      </w:r>
      <w:r w:rsidR="00E238D7">
        <w:t>l’</w:t>
      </w:r>
      <w:r w:rsidR="009A09FE" w:rsidRPr="009A09FE">
        <w:t>expulsion.</w:t>
      </w:r>
    </w:p>
    <w:p w:rsidR="009A09FE" w:rsidRPr="009A09FE" w:rsidRDefault="005A5B00" w:rsidP="00E44BBF">
      <w:pPr>
        <w:pStyle w:val="H23G"/>
        <w:jc w:val="both"/>
      </w:pPr>
      <w:r>
        <w:tab/>
      </w:r>
      <w:r>
        <w:tab/>
      </w:r>
      <w:r w:rsidR="009A09FE" w:rsidRPr="009A09FE">
        <w:t>Traite des êtres humains</w:t>
      </w:r>
    </w:p>
    <w:p w:rsidR="009A09FE" w:rsidRDefault="00E968A2" w:rsidP="00BC2AEB">
      <w:pPr>
        <w:pStyle w:val="SingleTxtG"/>
      </w:pPr>
      <w:r>
        <w:t>2</w:t>
      </w:r>
      <w:r w:rsidR="0029211D">
        <w:t>7</w:t>
      </w:r>
      <w:r w:rsidR="009A09FE">
        <w:t>.</w:t>
      </w:r>
      <w:r w:rsidR="009A09FE">
        <w:tab/>
        <w:t>Le Comité est préoccupé par l’absence générale d’information</w:t>
      </w:r>
      <w:r w:rsidR="00672C70">
        <w:t>s</w:t>
      </w:r>
      <w:r w:rsidR="009A09FE">
        <w:t xml:space="preserve"> </w:t>
      </w:r>
      <w:r w:rsidR="00672C70">
        <w:t xml:space="preserve">sur </w:t>
      </w:r>
      <w:r w:rsidR="009A09FE">
        <w:t>la pratique de la traite des femmes et des enfants à des fins d’exploitation sexuelle et autre, ainsi que sur l’ampleur de la traite dans l’</w:t>
      </w:r>
      <w:r w:rsidR="00643C2B">
        <w:t>État</w:t>
      </w:r>
      <w:r w:rsidR="009A09FE">
        <w:t xml:space="preserve"> partie, notamment le nombre de</w:t>
      </w:r>
      <w:r w:rsidR="00382F8E">
        <w:t>s</w:t>
      </w:r>
      <w:r w:rsidR="009A09FE">
        <w:t xml:space="preserve"> plaintes, d</w:t>
      </w:r>
      <w:r w:rsidR="00382F8E">
        <w:t xml:space="preserve">es </w:t>
      </w:r>
      <w:r w:rsidR="009A09FE">
        <w:t>enquêtes, de</w:t>
      </w:r>
      <w:r w:rsidR="00382F8E">
        <w:t>s</w:t>
      </w:r>
      <w:r w:rsidR="009A09FE">
        <w:t xml:space="preserve"> poursuites et de</w:t>
      </w:r>
      <w:r w:rsidR="00382F8E">
        <w:t>s</w:t>
      </w:r>
      <w:r w:rsidR="009A09FE">
        <w:t xml:space="preserve"> condamnation</w:t>
      </w:r>
      <w:r w:rsidR="00BC2AEB">
        <w:t>,</w:t>
      </w:r>
      <w:r w:rsidR="009A09FE">
        <w:t xml:space="preserve"> </w:t>
      </w:r>
      <w:r w:rsidR="00BC2AEB">
        <w:t xml:space="preserve">de même que </w:t>
      </w:r>
      <w:r w:rsidR="009A09FE">
        <w:t>sur les mesures prises pour prévenir et combattre ce phénomène (art. 2, 4, 12, 13 et 16).</w:t>
      </w:r>
    </w:p>
    <w:p w:rsidR="009A09FE" w:rsidRPr="009A09FE" w:rsidRDefault="009A09FE" w:rsidP="00135E90">
      <w:pPr>
        <w:pStyle w:val="SingleTxtG"/>
        <w:rPr>
          <w:b/>
        </w:rPr>
      </w:pPr>
      <w:r w:rsidRPr="009A09FE">
        <w:rPr>
          <w:b/>
        </w:rPr>
        <w:t>L’</w:t>
      </w:r>
      <w:r w:rsidR="00643C2B">
        <w:rPr>
          <w:b/>
        </w:rPr>
        <w:t>État</w:t>
      </w:r>
      <w:r w:rsidRPr="009A09FE">
        <w:rPr>
          <w:b/>
        </w:rPr>
        <w:t xml:space="preserve"> partie devrait intensifier ses efforts pour prévenir et combattre la traite des femmes et des enfants, notamment en adoptant une loi spécifique sur la prévention, la répression de la traite et la protection des victimes, en fournissant une protection aux victimes et en assurant l’accès </w:t>
      </w:r>
      <w:r w:rsidR="00517AC5">
        <w:rPr>
          <w:b/>
        </w:rPr>
        <w:t xml:space="preserve">de celles-ci </w:t>
      </w:r>
      <w:r w:rsidR="007050E2">
        <w:rPr>
          <w:b/>
        </w:rPr>
        <w:t>à des</w:t>
      </w:r>
      <w:r w:rsidR="007050E2" w:rsidRPr="009A09FE">
        <w:rPr>
          <w:b/>
        </w:rPr>
        <w:t xml:space="preserve"> </w:t>
      </w:r>
      <w:r w:rsidRPr="008E37AB">
        <w:rPr>
          <w:b/>
          <w:bCs/>
        </w:rPr>
        <w:t>services</w:t>
      </w:r>
      <w:r w:rsidRPr="009A09FE">
        <w:rPr>
          <w:b/>
        </w:rPr>
        <w:t xml:space="preserve"> </w:t>
      </w:r>
      <w:r w:rsidR="00517AC5" w:rsidRPr="009A09FE">
        <w:rPr>
          <w:b/>
        </w:rPr>
        <w:t>de réadaptation</w:t>
      </w:r>
      <w:r w:rsidR="00517AC5">
        <w:rPr>
          <w:b/>
        </w:rPr>
        <w:t>, mais aussi</w:t>
      </w:r>
      <w:r w:rsidR="00517AC5" w:rsidRPr="009A09FE">
        <w:rPr>
          <w:b/>
        </w:rPr>
        <w:t xml:space="preserve"> </w:t>
      </w:r>
      <w:r w:rsidRPr="009A09FE">
        <w:rPr>
          <w:b/>
        </w:rPr>
        <w:t>médicaux, sociaux et juridiques, ainsi qu’à des services de conseil en tant que de besoin. L’</w:t>
      </w:r>
      <w:r w:rsidR="00643C2B">
        <w:rPr>
          <w:b/>
        </w:rPr>
        <w:t>État</w:t>
      </w:r>
      <w:r w:rsidRPr="009A09FE">
        <w:rPr>
          <w:b/>
        </w:rPr>
        <w:t xml:space="preserve"> partie devrait en outre créer des conditions propices à l’exercice par les victimes de leur droit de déposer plainte</w:t>
      </w:r>
      <w:r w:rsidR="007050E2">
        <w:rPr>
          <w:b/>
        </w:rPr>
        <w:t xml:space="preserve">. Il devrait </w:t>
      </w:r>
      <w:r w:rsidR="000124AD">
        <w:rPr>
          <w:b/>
        </w:rPr>
        <w:t>procéder</w:t>
      </w:r>
      <w:r w:rsidRPr="009A09FE">
        <w:rPr>
          <w:b/>
        </w:rPr>
        <w:t xml:space="preserve"> rapidement </w:t>
      </w:r>
      <w:r w:rsidR="000124AD">
        <w:rPr>
          <w:b/>
        </w:rPr>
        <w:t xml:space="preserve">à </w:t>
      </w:r>
      <w:r w:rsidRPr="009A09FE">
        <w:rPr>
          <w:b/>
        </w:rPr>
        <w:t>des enquêtes impartiales et efficaces sur toutes les allégations de traite</w:t>
      </w:r>
      <w:r w:rsidR="0095168A">
        <w:rPr>
          <w:b/>
        </w:rPr>
        <w:t xml:space="preserve">, de même que veiller à ce </w:t>
      </w:r>
      <w:r w:rsidRPr="009A09FE">
        <w:rPr>
          <w:b/>
        </w:rPr>
        <w:t>que les responsables soient traduits en justice et que des peines</w:t>
      </w:r>
      <w:r w:rsidR="00517AC5">
        <w:rPr>
          <w:b/>
        </w:rPr>
        <w:t xml:space="preserve"> à </w:t>
      </w:r>
      <w:r w:rsidR="00643C2B">
        <w:rPr>
          <w:b/>
        </w:rPr>
        <w:t xml:space="preserve"> </w:t>
      </w:r>
      <w:r w:rsidRPr="009A09FE">
        <w:rPr>
          <w:b/>
        </w:rPr>
        <w:t>la mesure de la gravité de leurs actes leur soient infligées.</w:t>
      </w:r>
    </w:p>
    <w:p w:rsidR="009A09FE" w:rsidRPr="009A09FE" w:rsidRDefault="005A5B00" w:rsidP="00E44BBF">
      <w:pPr>
        <w:pStyle w:val="H23G"/>
        <w:jc w:val="both"/>
      </w:pPr>
      <w:r>
        <w:tab/>
      </w:r>
      <w:r>
        <w:tab/>
      </w:r>
      <w:r w:rsidR="009A09FE" w:rsidRPr="009A09FE">
        <w:t>Formation</w:t>
      </w:r>
    </w:p>
    <w:p w:rsidR="009A09FE" w:rsidRDefault="00E968A2" w:rsidP="007D3167">
      <w:pPr>
        <w:pStyle w:val="SingleTxtG"/>
      </w:pPr>
      <w:r>
        <w:t>2</w:t>
      </w:r>
      <w:r w:rsidR="0029211D">
        <w:t>8</w:t>
      </w:r>
      <w:r w:rsidR="009A09FE">
        <w:t>.</w:t>
      </w:r>
      <w:r w:rsidR="009A09FE">
        <w:tab/>
        <w:t xml:space="preserve">Le Comité prend note des informations fournies relatives aux activités de formation, </w:t>
      </w:r>
      <w:r w:rsidR="0007331D">
        <w:t xml:space="preserve">aux </w:t>
      </w:r>
      <w:r w:rsidR="009A09FE">
        <w:t xml:space="preserve">séminaires et </w:t>
      </w:r>
      <w:r w:rsidR="0007331D">
        <w:t xml:space="preserve">aux </w:t>
      </w:r>
      <w:r w:rsidR="009A09FE">
        <w:t>cours sur les droits de l’homme</w:t>
      </w:r>
      <w:r w:rsidR="004E26E4">
        <w:t xml:space="preserve"> </w:t>
      </w:r>
      <w:r w:rsidR="009A09FE">
        <w:t xml:space="preserve">organisés à l’intention des magistrats, </w:t>
      </w:r>
      <w:r w:rsidR="00E44243">
        <w:t xml:space="preserve">des </w:t>
      </w:r>
      <w:r w:rsidR="009A09FE">
        <w:t xml:space="preserve">policiers et </w:t>
      </w:r>
      <w:r w:rsidR="00E44243">
        <w:t xml:space="preserve">des </w:t>
      </w:r>
      <w:r w:rsidR="009A09FE">
        <w:t>agents pénitentiaires. Il s’inquiète</w:t>
      </w:r>
      <w:r w:rsidR="004E26E4">
        <w:t>,</w:t>
      </w:r>
      <w:r w:rsidR="009A09FE">
        <w:t xml:space="preserve"> toutefois</w:t>
      </w:r>
      <w:r w:rsidR="004E26E4">
        <w:t>,</w:t>
      </w:r>
      <w:r w:rsidR="009A09FE">
        <w:t xml:space="preserve"> </w:t>
      </w:r>
      <w:r w:rsidR="00AF4650">
        <w:t xml:space="preserve">de l’absence </w:t>
      </w:r>
      <w:r w:rsidR="009A09FE">
        <w:t>de formation</w:t>
      </w:r>
      <w:r w:rsidR="00AF4650">
        <w:t>s</w:t>
      </w:r>
      <w:r w:rsidR="009A09FE">
        <w:t xml:space="preserve"> cibl</w:t>
      </w:r>
      <w:r w:rsidR="003D374A">
        <w:t xml:space="preserve">ant le </w:t>
      </w:r>
      <w:r w:rsidR="009A09FE">
        <w:t>personnel des services d</w:t>
      </w:r>
      <w:r w:rsidR="003D374A">
        <w:t>e</w:t>
      </w:r>
      <w:r w:rsidR="009A09FE">
        <w:t xml:space="preserve"> </w:t>
      </w:r>
      <w:r w:rsidR="00A25386">
        <w:t xml:space="preserve">surveillance du territoire </w:t>
      </w:r>
      <w:r w:rsidR="009A09FE">
        <w:t>(</w:t>
      </w:r>
      <w:r w:rsidR="009A09FE" w:rsidRPr="00A25386">
        <w:t>DST</w:t>
      </w:r>
      <w:r w:rsidR="009A09FE">
        <w:t xml:space="preserve">), </w:t>
      </w:r>
      <w:r w:rsidR="003D374A">
        <w:t xml:space="preserve">les </w:t>
      </w:r>
      <w:r w:rsidR="009A09FE">
        <w:t xml:space="preserve">militaires, </w:t>
      </w:r>
      <w:r w:rsidR="00E44243">
        <w:t>les</w:t>
      </w:r>
      <w:r w:rsidR="00E31656">
        <w:t xml:space="preserve"> </w:t>
      </w:r>
      <w:r w:rsidR="009A09FE">
        <w:t xml:space="preserve">médecins légistes et </w:t>
      </w:r>
      <w:r w:rsidR="00E44243">
        <w:t xml:space="preserve">le </w:t>
      </w:r>
      <w:r w:rsidR="009A09FE">
        <w:t>personnel médical qui s’occupe des détenus ou des internés psychiatriques</w:t>
      </w:r>
      <w:r w:rsidR="00E41839">
        <w:t xml:space="preserve"> et</w:t>
      </w:r>
      <w:r w:rsidR="009A09FE">
        <w:t xml:space="preserve"> </w:t>
      </w:r>
      <w:r w:rsidR="00AF4650">
        <w:t xml:space="preserve">portant </w:t>
      </w:r>
      <w:r w:rsidR="009A09FE">
        <w:t xml:space="preserve">notamment </w:t>
      </w:r>
      <w:r w:rsidR="009A09FE" w:rsidRPr="00AF4650">
        <w:t>sur</w:t>
      </w:r>
      <w:r w:rsidR="009A09FE">
        <w:t xml:space="preserve"> les méthodes </w:t>
      </w:r>
      <w:r w:rsidR="007D3167">
        <w:t>propres à</w:t>
      </w:r>
      <w:r w:rsidR="00E44243">
        <w:t xml:space="preserve"> </w:t>
      </w:r>
      <w:r w:rsidR="009A09FE">
        <w:t>déceler les séquelles physiques et psychologiques de la torture (art. 10)</w:t>
      </w:r>
      <w:r w:rsidR="00E44243">
        <w:t>.</w:t>
      </w:r>
    </w:p>
    <w:p w:rsidR="009A09FE" w:rsidRPr="009A09FE" w:rsidRDefault="005A5B00" w:rsidP="00174E44">
      <w:pPr>
        <w:pStyle w:val="H23G"/>
        <w:jc w:val="both"/>
      </w:pPr>
      <w:r>
        <w:tab/>
      </w:r>
      <w:r>
        <w:tab/>
      </w:r>
      <w:r w:rsidR="009A09FE" w:rsidRPr="009A09FE">
        <w:t>L’</w:t>
      </w:r>
      <w:r w:rsidR="00643C2B">
        <w:t>État</w:t>
      </w:r>
      <w:r w:rsidR="009A09FE" w:rsidRPr="009A09FE">
        <w:t xml:space="preserve"> partie devrait continuer à concevoir </w:t>
      </w:r>
      <w:r w:rsidR="007D3167">
        <w:t>d</w:t>
      </w:r>
      <w:r w:rsidR="009A09FE" w:rsidRPr="009A09FE">
        <w:t>es programmes de formation</w:t>
      </w:r>
      <w:r w:rsidR="00B559DD">
        <w:t>, et à renforcer ces derniers,</w:t>
      </w:r>
      <w:r w:rsidR="009A09FE" w:rsidRPr="009A09FE">
        <w:t xml:space="preserve"> pour que tous les fonctionnaires – forces de l’ordre, services de renseignement, agents de sécurité, militaires, personnel pénitentiaire et personnel médical des prisons ou des hôpitaux psychiatriques – connaissent bien les dispositions de la Convention</w:t>
      </w:r>
      <w:r w:rsidR="00657091">
        <w:t>;</w:t>
      </w:r>
      <w:r w:rsidR="009A09FE" w:rsidRPr="009A09FE">
        <w:t xml:space="preserve"> que les violations signalées ne soient pas tolérées</w:t>
      </w:r>
      <w:r w:rsidR="00657091">
        <w:t>;</w:t>
      </w:r>
      <w:r w:rsidR="009A09FE" w:rsidRPr="009A09FE">
        <w:t xml:space="preserve"> </w:t>
      </w:r>
      <w:r w:rsidR="00442FBC">
        <w:t xml:space="preserve">que ces violations </w:t>
      </w:r>
      <w:r w:rsidR="009A09FE" w:rsidRPr="009A09FE">
        <w:t xml:space="preserve">donnent lieu à </w:t>
      </w:r>
      <w:r w:rsidR="00B559DD">
        <w:t>des</w:t>
      </w:r>
      <w:r w:rsidR="00442FBC">
        <w:t xml:space="preserve"> </w:t>
      </w:r>
      <w:r w:rsidR="009A09FE" w:rsidRPr="009A09FE">
        <w:t>enquête</w:t>
      </w:r>
      <w:r w:rsidR="00B559DD">
        <w:t>s</w:t>
      </w:r>
      <w:r w:rsidR="009A09FE" w:rsidRPr="009A09FE">
        <w:t xml:space="preserve"> </w:t>
      </w:r>
      <w:r w:rsidR="00442FBC">
        <w:t>et</w:t>
      </w:r>
      <w:r w:rsidR="00442FBC" w:rsidRPr="009A09FE">
        <w:t xml:space="preserve"> </w:t>
      </w:r>
      <w:r w:rsidR="009A09FE" w:rsidRPr="009A09FE">
        <w:t xml:space="preserve">que </w:t>
      </w:r>
      <w:r w:rsidR="00442FBC" w:rsidRPr="009A09FE">
        <w:t>les</w:t>
      </w:r>
      <w:r w:rsidR="009A09FE" w:rsidRPr="009A09FE">
        <w:t xml:space="preserve"> auteurs soient poursuivis. De plus, l’</w:t>
      </w:r>
      <w:r w:rsidR="00643C2B">
        <w:t>État</w:t>
      </w:r>
      <w:r w:rsidR="009A09FE" w:rsidRPr="009A09FE">
        <w:t xml:space="preserve"> partie devrait s’assurer que tous les personnels concernés, y compris les membres du corps médical, </w:t>
      </w:r>
      <w:r w:rsidR="00174E44">
        <w:t>apprennent</w:t>
      </w:r>
      <w:r w:rsidR="00226DF5">
        <w:t xml:space="preserve"> à</w:t>
      </w:r>
      <w:r w:rsidR="009A09FE" w:rsidRPr="009A09FE">
        <w:t xml:space="preserve"> détecter les signes de torture et de mauvais traitements</w:t>
      </w:r>
      <w:r w:rsidR="00E175FD">
        <w:t xml:space="preserve"> grâce à des formations spécifiques</w:t>
      </w:r>
      <w:r w:rsidR="009A09FE" w:rsidRPr="009A09FE">
        <w:t xml:space="preserve"> s’appuyant sur le </w:t>
      </w:r>
      <w:r w:rsidR="0090064F" w:rsidRPr="00D81713">
        <w:t>Manuel pour enquêter efficacement sur la torture et autres peines ou traitements cruels, inhumains ou dégradants</w:t>
      </w:r>
      <w:r w:rsidR="0090064F">
        <w:t xml:space="preserve"> (</w:t>
      </w:r>
      <w:r w:rsidR="009A09FE" w:rsidRPr="009A09FE">
        <w:t>Protocole d’Istanbul</w:t>
      </w:r>
      <w:r w:rsidR="0090064F">
        <w:t>)</w:t>
      </w:r>
      <w:r w:rsidR="009A09FE" w:rsidRPr="009A09FE">
        <w:t>. L’</w:t>
      </w:r>
      <w:r w:rsidR="00643C2B">
        <w:t>État</w:t>
      </w:r>
      <w:r w:rsidR="009A09FE" w:rsidRPr="009A09FE">
        <w:t xml:space="preserve"> partie devrait enfin évaluer l’efficacité et l’incidence de ces programmes de formation et d</w:t>
      </w:r>
      <w:r w:rsidR="00823838">
        <w:t xml:space="preserve">e cet </w:t>
      </w:r>
      <w:r w:rsidR="009A09FE" w:rsidRPr="009A09FE">
        <w:t xml:space="preserve">enseignement. </w:t>
      </w:r>
    </w:p>
    <w:p w:rsidR="009A09FE" w:rsidRPr="00021BFF" w:rsidRDefault="005A5B00" w:rsidP="000D45DA">
      <w:pPr>
        <w:pStyle w:val="H23G"/>
        <w:jc w:val="both"/>
      </w:pPr>
      <w:r>
        <w:tab/>
      </w:r>
      <w:r>
        <w:tab/>
      </w:r>
      <w:r w:rsidR="009A09FE" w:rsidRPr="00021BFF">
        <w:t xml:space="preserve">L’Instance </w:t>
      </w:r>
      <w:r w:rsidR="000D45DA">
        <w:t>É</w:t>
      </w:r>
      <w:r w:rsidR="009A09FE" w:rsidRPr="00021BFF">
        <w:t xml:space="preserve">quité et Réconciliation et la question </w:t>
      </w:r>
      <w:r w:rsidR="00C47599" w:rsidRPr="00021BFF">
        <w:t xml:space="preserve">de la </w:t>
      </w:r>
      <w:r w:rsidR="009A09FE" w:rsidRPr="00021BFF">
        <w:t>réparation</w:t>
      </w:r>
    </w:p>
    <w:p w:rsidR="009A09FE" w:rsidRPr="00021BFF" w:rsidRDefault="00E968A2" w:rsidP="00C143B1">
      <w:pPr>
        <w:pStyle w:val="SingleTxtG"/>
      </w:pPr>
      <w:r>
        <w:t>2</w:t>
      </w:r>
      <w:r w:rsidR="0029211D">
        <w:t>9</w:t>
      </w:r>
      <w:r w:rsidR="009A09FE" w:rsidRPr="00021BFF">
        <w:t>.</w:t>
      </w:r>
      <w:r w:rsidR="009A09FE" w:rsidRPr="00021BFF">
        <w:tab/>
        <w:t>Le Comité prend note des informations fournies par l’</w:t>
      </w:r>
      <w:r w:rsidR="00643C2B">
        <w:t>État</w:t>
      </w:r>
      <w:r w:rsidR="009A09FE" w:rsidRPr="00021BFF">
        <w:t xml:space="preserve"> partie sur le travail considérable accompli entre 2003 et 2005 par le mécanisme de justice transitionnelle, l’Instance </w:t>
      </w:r>
      <w:r w:rsidR="000D45DA">
        <w:t>É</w:t>
      </w:r>
      <w:r w:rsidR="009A09FE" w:rsidRPr="00021BFF">
        <w:t>quité et Réconciliation (IER)</w:t>
      </w:r>
      <w:r w:rsidR="001C5464">
        <w:t xml:space="preserve">, qui a enquêté </w:t>
      </w:r>
      <w:r w:rsidR="009A09FE" w:rsidRPr="00021BFF">
        <w:t xml:space="preserve">sur les violations graves, massives et systématiques des droits de l’homme </w:t>
      </w:r>
      <w:r w:rsidR="000D45DA">
        <w:t>commises</w:t>
      </w:r>
      <w:r w:rsidR="009A09FE" w:rsidRPr="00021BFF">
        <w:t xml:space="preserve"> au Maroc entre 1956 et 1999</w:t>
      </w:r>
      <w:r w:rsidR="00D82545">
        <w:t xml:space="preserve">. Ces enquêtes </w:t>
      </w:r>
      <w:r w:rsidR="009A09FE" w:rsidRPr="00021BFF">
        <w:t>ont permis de faire la lumière sur</w:t>
      </w:r>
      <w:r w:rsidR="00E31656">
        <w:t xml:space="preserve"> </w:t>
      </w:r>
      <w:r w:rsidR="008517C0">
        <w:t xml:space="preserve">grand </w:t>
      </w:r>
      <w:r w:rsidR="009A09FE" w:rsidRPr="008517C0">
        <w:t>nombre</w:t>
      </w:r>
      <w:r w:rsidR="009A09FE" w:rsidRPr="00021BFF">
        <w:t xml:space="preserve"> de ces violations, en élucidant notamment de nombreux cas de disparitions forcées</w:t>
      </w:r>
      <w:r w:rsidR="005F4CB4">
        <w:t xml:space="preserve">. </w:t>
      </w:r>
      <w:r w:rsidR="00226DF5">
        <w:t>G</w:t>
      </w:r>
      <w:r w:rsidR="002736D6">
        <w:t xml:space="preserve">râce à elles, de nombreuses victimes ont </w:t>
      </w:r>
      <w:r w:rsidR="00226DF5">
        <w:t xml:space="preserve">ainsi </w:t>
      </w:r>
      <w:r w:rsidR="002736D6">
        <w:t xml:space="preserve">pu bénéficier </w:t>
      </w:r>
      <w:r w:rsidR="009A09FE" w:rsidRPr="00021BFF">
        <w:t>de réparations sous diverses formes. Le Comité reste toutefois préoccupé par le fait que ces travaux n</w:t>
      </w:r>
      <w:r w:rsidR="005F4CB4">
        <w:t>e s</w:t>
      </w:r>
      <w:r w:rsidR="009A09FE" w:rsidRPr="00021BFF">
        <w:t xml:space="preserve">ont pas </w:t>
      </w:r>
      <w:r w:rsidR="006C4349" w:rsidRPr="006C4349">
        <w:t>compl</w:t>
      </w:r>
      <w:r w:rsidR="006C4349">
        <w:t>e</w:t>
      </w:r>
      <w:r w:rsidR="0090064F" w:rsidRPr="00021BFF">
        <w:t>ts puisqu’ils n’</w:t>
      </w:r>
      <w:r w:rsidR="009A09FE" w:rsidRPr="00021BFF">
        <w:t>inclu</w:t>
      </w:r>
      <w:r w:rsidR="005F4CB4">
        <w:t>ent pas</w:t>
      </w:r>
      <w:r w:rsidR="009A09FE" w:rsidRPr="00021BFF">
        <w:t xml:space="preserve"> les violations </w:t>
      </w:r>
      <w:r w:rsidR="005F4CB4">
        <w:t>commises</w:t>
      </w:r>
      <w:r w:rsidR="009A09FE" w:rsidRPr="00021BFF">
        <w:t xml:space="preserve"> au Sahara occidental </w:t>
      </w:r>
      <w:r w:rsidR="00D13163">
        <w:t>et</w:t>
      </w:r>
      <w:r w:rsidR="009A09FE" w:rsidRPr="00021BFF">
        <w:t xml:space="preserve"> que certains cas de disparitions forcées n’</w:t>
      </w:r>
      <w:r w:rsidR="00D13163">
        <w:t>ét</w:t>
      </w:r>
      <w:r w:rsidR="009A09FE" w:rsidRPr="00021BFF">
        <w:t xml:space="preserve">aient pas résolus à la fin des travaux de l’IER en 2005. De plus, le Comité est préoccupé par le fait que les travaux de l’IER puissent </w:t>
      </w:r>
      <w:r w:rsidR="00C15E07">
        <w:t xml:space="preserve">avoir </w:t>
      </w:r>
      <w:r w:rsidR="009A09FE" w:rsidRPr="00021BFF">
        <w:t>entra</w:t>
      </w:r>
      <w:r w:rsidR="00D13163">
        <w:t>î</w:t>
      </w:r>
      <w:r w:rsidR="009A09FE" w:rsidRPr="00021BFF">
        <w:t>n</w:t>
      </w:r>
      <w:r w:rsidR="00C15E07">
        <w:t xml:space="preserve">é </w:t>
      </w:r>
      <w:r w:rsidR="009A09FE" w:rsidRPr="00021BFF">
        <w:t xml:space="preserve">une impunité </w:t>
      </w:r>
      <w:r w:rsidR="009A09FE" w:rsidRPr="00D13163">
        <w:rPr>
          <w:iCs/>
        </w:rPr>
        <w:t>de facto</w:t>
      </w:r>
      <w:r w:rsidR="009A09FE" w:rsidRPr="00021BFF">
        <w:t xml:space="preserve"> </w:t>
      </w:r>
      <w:r w:rsidR="00C15E07">
        <w:t>d</w:t>
      </w:r>
      <w:r w:rsidR="009A09FE" w:rsidRPr="00021BFF">
        <w:t>es auteurs de</w:t>
      </w:r>
      <w:r w:rsidR="006214F8">
        <w:t>s</w:t>
      </w:r>
      <w:r w:rsidR="009A09FE" w:rsidRPr="00021BFF">
        <w:t xml:space="preserve"> violations de</w:t>
      </w:r>
      <w:r w:rsidR="0090064F" w:rsidRPr="00021BFF">
        <w:t xml:space="preserve"> la Convention </w:t>
      </w:r>
      <w:r w:rsidR="006214F8">
        <w:t xml:space="preserve">commises </w:t>
      </w:r>
      <w:r w:rsidR="0090064F" w:rsidRPr="00021BFF">
        <w:t>au cours de</w:t>
      </w:r>
      <w:r w:rsidR="009A09FE" w:rsidRPr="00021BFF">
        <w:t xml:space="preserve"> cette période, puisqu’</w:t>
      </w:r>
      <w:r w:rsidR="00EB4E03">
        <w:t xml:space="preserve">à ce jour </w:t>
      </w:r>
      <w:r w:rsidR="009A09FE" w:rsidRPr="00021BFF">
        <w:t xml:space="preserve">aucun </w:t>
      </w:r>
      <w:r w:rsidR="00C143B1">
        <w:t xml:space="preserve">d’entre eux </w:t>
      </w:r>
      <w:r w:rsidR="009A09FE" w:rsidRPr="00021BFF">
        <w:t>n’a été poursuivi. Enfin, le Comité est préoccupé par les informations reçues selon lesquelles toutes les victimes et</w:t>
      </w:r>
      <w:r w:rsidR="005E76E6">
        <w:t xml:space="preserve"> </w:t>
      </w:r>
      <w:r w:rsidR="00C143B1">
        <w:t xml:space="preserve">toutes </w:t>
      </w:r>
      <w:r w:rsidR="005E76E6">
        <w:t>les</w:t>
      </w:r>
      <w:r w:rsidR="009A09FE" w:rsidRPr="00021BFF">
        <w:t xml:space="preserve"> familles de victimes n’</w:t>
      </w:r>
      <w:r w:rsidR="008967EF">
        <w:t>auraie</w:t>
      </w:r>
      <w:r w:rsidR="009A09FE" w:rsidRPr="00021BFF">
        <w:t xml:space="preserve">nt </w:t>
      </w:r>
      <w:r w:rsidR="008967EF">
        <w:t xml:space="preserve">pas </w:t>
      </w:r>
      <w:r w:rsidR="005E76E6">
        <w:t>été</w:t>
      </w:r>
      <w:r w:rsidR="009A09FE" w:rsidRPr="00021BFF">
        <w:t xml:space="preserve"> indemnis</w:t>
      </w:r>
      <w:r w:rsidR="005E76E6">
        <w:t xml:space="preserve">ées </w:t>
      </w:r>
      <w:r w:rsidR="009A09FE" w:rsidRPr="00021BFF">
        <w:t xml:space="preserve">et </w:t>
      </w:r>
      <w:r w:rsidR="009A38E0">
        <w:t xml:space="preserve">que </w:t>
      </w:r>
      <w:r w:rsidR="00C143B1">
        <w:t>l</w:t>
      </w:r>
      <w:r w:rsidR="009A09FE" w:rsidRPr="00021BFF">
        <w:t>es indemnités versées n’</w:t>
      </w:r>
      <w:r w:rsidR="009A38E0">
        <w:t>aur</w:t>
      </w:r>
      <w:r w:rsidR="009A09FE" w:rsidRPr="00021BFF">
        <w:t xml:space="preserve">aient pas </w:t>
      </w:r>
      <w:r w:rsidR="00C143B1">
        <w:t xml:space="preserve">toujours </w:t>
      </w:r>
      <w:r w:rsidR="009A09FE" w:rsidRPr="00021BFF">
        <w:t>été équitables, adéquates ou effectives (art. 12, 13 et 14)</w:t>
      </w:r>
      <w:r w:rsidR="00F31087">
        <w:t>.</w:t>
      </w:r>
    </w:p>
    <w:p w:rsidR="009A09FE" w:rsidRPr="009A09FE" w:rsidRDefault="005A5B00" w:rsidP="002733BC">
      <w:pPr>
        <w:pStyle w:val="H23G"/>
        <w:jc w:val="both"/>
      </w:pPr>
      <w:r w:rsidRPr="00021BFF">
        <w:tab/>
      </w:r>
      <w:r w:rsidRPr="00021BFF">
        <w:tab/>
      </w:r>
      <w:r w:rsidR="009A09FE" w:rsidRPr="00021BFF">
        <w:t>L’</w:t>
      </w:r>
      <w:r w:rsidR="00643C2B">
        <w:t>État</w:t>
      </w:r>
      <w:r w:rsidR="009A09FE" w:rsidRPr="00021BFF">
        <w:t xml:space="preserve"> partie devrait s’assurer que le Conseil </w:t>
      </w:r>
      <w:r w:rsidR="00166B0F">
        <w:t>n</w:t>
      </w:r>
      <w:r w:rsidR="009A09FE" w:rsidRPr="00021BFF">
        <w:t xml:space="preserve">ational des </w:t>
      </w:r>
      <w:r w:rsidR="00166B0F">
        <w:t>d</w:t>
      </w:r>
      <w:r w:rsidR="009A09FE" w:rsidRPr="00021BFF">
        <w:t xml:space="preserve">roits de l’homme, qui a été désigné pour finaliser les travaux de l’IER, </w:t>
      </w:r>
      <w:r w:rsidR="00844E64">
        <w:t>continue de s’</w:t>
      </w:r>
      <w:r w:rsidR="009A09FE" w:rsidRPr="00021BFF">
        <w:t>effor</w:t>
      </w:r>
      <w:r w:rsidR="00844E64">
        <w:t>cer d’</w:t>
      </w:r>
      <w:r w:rsidR="009A09FE" w:rsidRPr="00021BFF">
        <w:t xml:space="preserve">élucider les cas de disparitions forcées </w:t>
      </w:r>
      <w:r w:rsidR="00FC67E7">
        <w:t xml:space="preserve">intervenues </w:t>
      </w:r>
      <w:r w:rsidR="001E47CC">
        <w:t>entre 1956 et 1999</w:t>
      </w:r>
      <w:r w:rsidR="009A09FE" w:rsidRPr="00021BFF">
        <w:t xml:space="preserve"> </w:t>
      </w:r>
      <w:r w:rsidR="002733BC">
        <w:t>restés non</w:t>
      </w:r>
      <w:r w:rsidR="009A09FE" w:rsidRPr="00021BFF">
        <w:t xml:space="preserve"> élucidés, y compris les cas </w:t>
      </w:r>
      <w:r w:rsidR="007D2012">
        <w:t>liés</w:t>
      </w:r>
      <w:r w:rsidR="009A09FE" w:rsidRPr="00021BFF">
        <w:t xml:space="preserve"> au Sahara occidental. L’</w:t>
      </w:r>
      <w:r w:rsidR="00643C2B">
        <w:t>État</w:t>
      </w:r>
      <w:r w:rsidR="009A09FE" w:rsidRPr="00021BFF">
        <w:t xml:space="preserve"> </w:t>
      </w:r>
      <w:r w:rsidR="003C3BC1">
        <w:t xml:space="preserve">partie </w:t>
      </w:r>
      <w:r w:rsidR="009A09FE" w:rsidRPr="00021BFF">
        <w:t xml:space="preserve">devrait également intensifier ses efforts pour assurer aux victimes de torture et de mauvais traitements une réparation sous la forme d’une indemnisation équitable et suffisante et d’une réadaptation aussi complète que possible. </w:t>
      </w:r>
      <w:r w:rsidR="003C3BC1">
        <w:t>À</w:t>
      </w:r>
      <w:r w:rsidR="009A09FE" w:rsidRPr="00021BFF">
        <w:t xml:space="preserve"> cet effet, il devrait inclure dans sa législation des dispositions sur le droit des </w:t>
      </w:r>
      <w:r w:rsidR="00FC67E7">
        <w:t xml:space="preserve">personnes </w:t>
      </w:r>
      <w:r w:rsidR="009A09FE" w:rsidRPr="00021BFF">
        <w:t xml:space="preserve">victimes de torture d’être indemnisées de manière équitable et adéquate du préjudice </w:t>
      </w:r>
      <w:r w:rsidR="00B71EE5">
        <w:t xml:space="preserve">ainsi </w:t>
      </w:r>
      <w:r w:rsidR="003D5D8D">
        <w:t>subi</w:t>
      </w:r>
      <w:r w:rsidR="009A09FE" w:rsidRPr="00021BFF">
        <w:t>.</w:t>
      </w:r>
    </w:p>
    <w:p w:rsidR="009A09FE" w:rsidRPr="009A09FE" w:rsidRDefault="005A5B00" w:rsidP="00E44BBF">
      <w:pPr>
        <w:pStyle w:val="H23G"/>
        <w:jc w:val="both"/>
      </w:pPr>
      <w:r>
        <w:tab/>
      </w:r>
      <w:r>
        <w:tab/>
      </w:r>
      <w:r w:rsidR="009A09FE" w:rsidRPr="009A09FE">
        <w:t>Coopération avec les mécanismes de l’ONU</w:t>
      </w:r>
    </w:p>
    <w:p w:rsidR="009A09FE" w:rsidRPr="005A5B00" w:rsidRDefault="0029211D" w:rsidP="00C83A9D">
      <w:pPr>
        <w:pStyle w:val="SingleTxtG"/>
        <w:rPr>
          <w:b/>
        </w:rPr>
      </w:pPr>
      <w:r>
        <w:rPr>
          <w:b/>
        </w:rPr>
        <w:t>30</w:t>
      </w:r>
      <w:r w:rsidR="009A09FE" w:rsidRPr="005A5B00">
        <w:rPr>
          <w:b/>
        </w:rPr>
        <w:t>.</w:t>
      </w:r>
      <w:r w:rsidR="009A09FE" w:rsidRPr="005A5B00">
        <w:rPr>
          <w:b/>
        </w:rPr>
        <w:tab/>
        <w:t>Le Comité recommande à l’</w:t>
      </w:r>
      <w:r w:rsidR="00643C2B">
        <w:rPr>
          <w:b/>
        </w:rPr>
        <w:t>État</w:t>
      </w:r>
      <w:r w:rsidR="009A09FE" w:rsidRPr="005A5B00">
        <w:rPr>
          <w:b/>
        </w:rPr>
        <w:t xml:space="preserve"> partie d’intensifier sa coopération avec les mécanismes des droits de l’homme de l’ONU, notamment en autorisant les visites, entre autres, du Groupe de travail sur la détention arbitraire, d</w:t>
      </w:r>
      <w:r w:rsidR="00C83A9D">
        <w:rPr>
          <w:b/>
        </w:rPr>
        <w:t xml:space="preserve">e la </w:t>
      </w:r>
      <w:r w:rsidR="009A09FE" w:rsidRPr="005A5B00">
        <w:rPr>
          <w:b/>
        </w:rPr>
        <w:t>Rapporteu</w:t>
      </w:r>
      <w:r w:rsidR="00C83A9D">
        <w:rPr>
          <w:b/>
        </w:rPr>
        <w:t xml:space="preserve">se </w:t>
      </w:r>
      <w:r w:rsidR="009A09FE" w:rsidRPr="005A5B00">
        <w:rPr>
          <w:b/>
        </w:rPr>
        <w:t xml:space="preserve"> spécial</w:t>
      </w:r>
      <w:r w:rsidR="00C83A9D">
        <w:rPr>
          <w:b/>
        </w:rPr>
        <w:t>e</w:t>
      </w:r>
      <w:r w:rsidR="009A09FE" w:rsidRPr="005A5B00">
        <w:rPr>
          <w:b/>
        </w:rPr>
        <w:t xml:space="preserve"> sur la traite des </w:t>
      </w:r>
      <w:r w:rsidR="00C83A9D">
        <w:rPr>
          <w:b/>
        </w:rPr>
        <w:t>êtres humains, en particulier les femmes et les enfants</w:t>
      </w:r>
      <w:r w:rsidR="009A09FE" w:rsidRPr="005A5B00">
        <w:rPr>
          <w:b/>
        </w:rPr>
        <w:t xml:space="preserve"> et du Rapporteur spécial sur </w:t>
      </w:r>
      <w:r w:rsidR="00C83A9D">
        <w:rPr>
          <w:b/>
        </w:rPr>
        <w:t xml:space="preserve">le droit de réunion et </w:t>
      </w:r>
      <w:r w:rsidR="009A09FE" w:rsidRPr="005A5B00">
        <w:rPr>
          <w:b/>
        </w:rPr>
        <w:t xml:space="preserve">d’association </w:t>
      </w:r>
      <w:r w:rsidR="00C83A9D">
        <w:rPr>
          <w:b/>
        </w:rPr>
        <w:t>pacifiques</w:t>
      </w:r>
      <w:r w:rsidR="009A09FE" w:rsidRPr="005A5B00">
        <w:rPr>
          <w:b/>
        </w:rPr>
        <w:t>.</w:t>
      </w:r>
    </w:p>
    <w:p w:rsidR="009A09FE" w:rsidRPr="005A5B00" w:rsidRDefault="00E968A2" w:rsidP="00C83A9D">
      <w:pPr>
        <w:pStyle w:val="SingleTxtG"/>
        <w:rPr>
          <w:b/>
        </w:rPr>
      </w:pPr>
      <w:r>
        <w:rPr>
          <w:b/>
        </w:rPr>
        <w:t>3</w:t>
      </w:r>
      <w:r w:rsidR="0029211D">
        <w:rPr>
          <w:b/>
        </w:rPr>
        <w:t>1</w:t>
      </w:r>
      <w:r w:rsidR="009A09FE" w:rsidRPr="005A5B00">
        <w:rPr>
          <w:b/>
        </w:rPr>
        <w:t>.</w:t>
      </w:r>
      <w:r w:rsidR="009A09FE" w:rsidRPr="005A5B00">
        <w:rPr>
          <w:b/>
        </w:rPr>
        <w:tab/>
        <w:t xml:space="preserve">Le Comité invite l’État partie à envisager d’adhérer aux principaux instruments relatifs aux droits de l’homme auxquels il n’est pas encore partie, notamment </w:t>
      </w:r>
      <w:r w:rsidR="00C83A9D">
        <w:rPr>
          <w:b/>
        </w:rPr>
        <w:t>au</w:t>
      </w:r>
      <w:r w:rsidR="00C83A9D" w:rsidRPr="005A5B00">
        <w:rPr>
          <w:b/>
        </w:rPr>
        <w:t xml:space="preserve"> </w:t>
      </w:r>
      <w:r w:rsidR="009A09FE" w:rsidRPr="005A5B00">
        <w:rPr>
          <w:b/>
        </w:rPr>
        <w:t xml:space="preserve">Protocole facultatif </w:t>
      </w:r>
      <w:r w:rsidR="00C83A9D">
        <w:rPr>
          <w:b/>
        </w:rPr>
        <w:t xml:space="preserve">se rapportant </w:t>
      </w:r>
      <w:r w:rsidR="009A09FE" w:rsidRPr="005A5B00">
        <w:rPr>
          <w:b/>
        </w:rPr>
        <w:t>à la Convention contre la torture</w:t>
      </w:r>
      <w:r w:rsidR="00C83A9D">
        <w:rPr>
          <w:b/>
        </w:rPr>
        <w:t xml:space="preserve"> et autres peines ou traitements cruels, inhumains ou dégradants</w:t>
      </w:r>
      <w:r w:rsidR="009A09FE" w:rsidRPr="005A5B00">
        <w:rPr>
          <w:b/>
        </w:rPr>
        <w:t xml:space="preserve"> et </w:t>
      </w:r>
      <w:r w:rsidR="00C83A9D">
        <w:rPr>
          <w:b/>
        </w:rPr>
        <w:t>au</w:t>
      </w:r>
      <w:r w:rsidR="00C83A9D" w:rsidRPr="005A5B00">
        <w:rPr>
          <w:b/>
        </w:rPr>
        <w:t xml:space="preserve"> </w:t>
      </w:r>
      <w:r w:rsidR="009A09FE" w:rsidRPr="005A5B00">
        <w:rPr>
          <w:b/>
        </w:rPr>
        <w:t xml:space="preserve">Statut de Rome de la Cour pénale internationale. </w:t>
      </w:r>
    </w:p>
    <w:p w:rsidR="009A09FE" w:rsidRPr="005A5B00" w:rsidRDefault="00E968A2" w:rsidP="006B340D">
      <w:pPr>
        <w:pStyle w:val="SingleTxtG"/>
        <w:rPr>
          <w:b/>
        </w:rPr>
      </w:pPr>
      <w:r>
        <w:rPr>
          <w:b/>
        </w:rPr>
        <w:t>3</w:t>
      </w:r>
      <w:r w:rsidR="0029211D">
        <w:rPr>
          <w:b/>
        </w:rPr>
        <w:t>2</w:t>
      </w:r>
      <w:r w:rsidR="009A09FE" w:rsidRPr="005A5B00">
        <w:rPr>
          <w:b/>
        </w:rPr>
        <w:t>.</w:t>
      </w:r>
      <w:r w:rsidR="009A09FE" w:rsidRPr="005A5B00">
        <w:rPr>
          <w:b/>
        </w:rPr>
        <w:tab/>
        <w:t xml:space="preserve">L’État partie est </w:t>
      </w:r>
      <w:r w:rsidR="006B340D">
        <w:rPr>
          <w:b/>
        </w:rPr>
        <w:t>exhorté</w:t>
      </w:r>
      <w:r w:rsidR="006B340D" w:rsidRPr="005A5B00">
        <w:rPr>
          <w:b/>
        </w:rPr>
        <w:t xml:space="preserve"> </w:t>
      </w:r>
      <w:r w:rsidR="009A09FE" w:rsidRPr="005A5B00">
        <w:rPr>
          <w:b/>
        </w:rPr>
        <w:t xml:space="preserve">à diffuser largement les rapports qu’il a soumis au Comité, ainsi que les conclusions et recommandations de celui-ci, </w:t>
      </w:r>
      <w:r w:rsidR="006B340D">
        <w:rPr>
          <w:b/>
        </w:rPr>
        <w:t>par le biais</w:t>
      </w:r>
      <w:r w:rsidR="009A09FE" w:rsidRPr="005A5B00">
        <w:rPr>
          <w:b/>
        </w:rPr>
        <w:t xml:space="preserve"> des sites </w:t>
      </w:r>
      <w:r w:rsidR="006B340D">
        <w:rPr>
          <w:b/>
        </w:rPr>
        <w:t>Internet</w:t>
      </w:r>
      <w:r w:rsidR="006B340D" w:rsidRPr="005A5B00">
        <w:rPr>
          <w:b/>
        </w:rPr>
        <w:t xml:space="preserve"> </w:t>
      </w:r>
      <w:r w:rsidR="009A09FE" w:rsidRPr="005A5B00">
        <w:rPr>
          <w:b/>
        </w:rPr>
        <w:t>officiels</w:t>
      </w:r>
      <w:r w:rsidR="006B340D">
        <w:rPr>
          <w:b/>
        </w:rPr>
        <w:t>,</w:t>
      </w:r>
      <w:r w:rsidR="009A09FE" w:rsidRPr="005A5B00">
        <w:rPr>
          <w:b/>
        </w:rPr>
        <w:t xml:space="preserve"> des médias et des organisations non gouvernementales.</w:t>
      </w:r>
    </w:p>
    <w:p w:rsidR="008A1AFA" w:rsidRPr="005A5B00" w:rsidRDefault="008A1AFA" w:rsidP="00FC67E7">
      <w:pPr>
        <w:pStyle w:val="SingleTxtG"/>
        <w:rPr>
          <w:b/>
        </w:rPr>
      </w:pPr>
      <w:r w:rsidRPr="005A5B00">
        <w:rPr>
          <w:b/>
        </w:rPr>
        <w:t>3</w:t>
      </w:r>
      <w:r w:rsidR="0029211D">
        <w:rPr>
          <w:b/>
        </w:rPr>
        <w:t>3</w:t>
      </w:r>
      <w:r w:rsidRPr="005A5B00">
        <w:rPr>
          <w:b/>
        </w:rPr>
        <w:t>.</w:t>
      </w:r>
      <w:r w:rsidRPr="005A5B00">
        <w:rPr>
          <w:b/>
        </w:rPr>
        <w:tab/>
        <w:t>Le Comité pri</w:t>
      </w:r>
      <w:r>
        <w:rPr>
          <w:b/>
        </w:rPr>
        <w:t>e l’État partie de lui fournir</w:t>
      </w:r>
      <w:r w:rsidR="007E45F8">
        <w:rPr>
          <w:b/>
        </w:rPr>
        <w:t>,</w:t>
      </w:r>
      <w:r>
        <w:rPr>
          <w:b/>
        </w:rPr>
        <w:t xml:space="preserve"> avant le 25 novembre 2012</w:t>
      </w:r>
      <w:r w:rsidRPr="005A5B00">
        <w:rPr>
          <w:b/>
        </w:rPr>
        <w:t xml:space="preserve">, des renseignements sur la suite </w:t>
      </w:r>
      <w:r w:rsidR="007E45F8">
        <w:rPr>
          <w:b/>
        </w:rPr>
        <w:t xml:space="preserve">qui aura été </w:t>
      </w:r>
      <w:r w:rsidRPr="005A5B00">
        <w:rPr>
          <w:b/>
        </w:rPr>
        <w:t xml:space="preserve">donnée aux recommandations formulées </w:t>
      </w:r>
      <w:r w:rsidR="005C5905">
        <w:rPr>
          <w:b/>
        </w:rPr>
        <w:t>visant</w:t>
      </w:r>
      <w:r>
        <w:rPr>
          <w:b/>
        </w:rPr>
        <w:t xml:space="preserve"> à</w:t>
      </w:r>
      <w:r w:rsidR="00657091">
        <w:rPr>
          <w:b/>
        </w:rPr>
        <w:t>:</w:t>
      </w:r>
      <w:r>
        <w:rPr>
          <w:b/>
        </w:rPr>
        <w:t xml:space="preserve"> 1) assurer ou renforcer les garanties juridiques des personnes détenues</w:t>
      </w:r>
      <w:r w:rsidR="00657091">
        <w:rPr>
          <w:b/>
        </w:rPr>
        <w:t>;</w:t>
      </w:r>
      <w:r>
        <w:rPr>
          <w:b/>
        </w:rPr>
        <w:t xml:space="preserve"> 2) mener des </w:t>
      </w:r>
      <w:r w:rsidR="001E0D91">
        <w:rPr>
          <w:b/>
        </w:rPr>
        <w:t>enquêtes</w:t>
      </w:r>
      <w:r>
        <w:rPr>
          <w:b/>
        </w:rPr>
        <w:t xml:space="preserve"> promptes, impartiales et effectives</w:t>
      </w:r>
      <w:r w:rsidR="00657091">
        <w:rPr>
          <w:b/>
        </w:rPr>
        <w:t>;</w:t>
      </w:r>
      <w:r>
        <w:rPr>
          <w:b/>
        </w:rPr>
        <w:t xml:space="preserve"> 3) poursuivre les suspects et sanctionner le</w:t>
      </w:r>
      <w:r w:rsidR="007E45F8">
        <w:rPr>
          <w:b/>
        </w:rPr>
        <w:t>s</w:t>
      </w:r>
      <w:r>
        <w:rPr>
          <w:b/>
        </w:rPr>
        <w:t xml:space="preserve"> auteurs</w:t>
      </w:r>
      <w:r w:rsidR="00D4796B">
        <w:rPr>
          <w:b/>
        </w:rPr>
        <w:t>,</w:t>
      </w:r>
      <w:r>
        <w:rPr>
          <w:b/>
        </w:rPr>
        <w:t xml:space="preserve"> de torture ou de mauvais traitements</w:t>
      </w:r>
      <w:r w:rsidR="00657091">
        <w:rPr>
          <w:b/>
        </w:rPr>
        <w:t>;</w:t>
      </w:r>
      <w:r>
        <w:rPr>
          <w:b/>
        </w:rPr>
        <w:t xml:space="preserve"> </w:t>
      </w:r>
      <w:r w:rsidR="005C5905">
        <w:rPr>
          <w:b/>
        </w:rPr>
        <w:t xml:space="preserve">et 4) </w:t>
      </w:r>
      <w:r w:rsidR="007E45F8">
        <w:rPr>
          <w:b/>
        </w:rPr>
        <w:t xml:space="preserve">octroyer </w:t>
      </w:r>
      <w:r w:rsidR="005C5905">
        <w:rPr>
          <w:b/>
        </w:rPr>
        <w:t>les réparations</w:t>
      </w:r>
      <w:r w:rsidR="007E45F8">
        <w:rPr>
          <w:b/>
        </w:rPr>
        <w:t xml:space="preserve"> visées </w:t>
      </w:r>
      <w:r w:rsidRPr="005A5B00">
        <w:rPr>
          <w:b/>
        </w:rPr>
        <w:t xml:space="preserve">aux paragraphes </w:t>
      </w:r>
      <w:r>
        <w:rPr>
          <w:b/>
        </w:rPr>
        <w:t xml:space="preserve">7, </w:t>
      </w:r>
      <w:r w:rsidRPr="00021BFF">
        <w:rPr>
          <w:b/>
        </w:rPr>
        <w:t>1</w:t>
      </w:r>
      <w:r w:rsidR="00936C81">
        <w:rPr>
          <w:b/>
        </w:rPr>
        <w:t>1</w:t>
      </w:r>
      <w:r w:rsidRPr="00021BFF">
        <w:rPr>
          <w:b/>
        </w:rPr>
        <w:t xml:space="preserve">, </w:t>
      </w:r>
      <w:r>
        <w:rPr>
          <w:b/>
        </w:rPr>
        <w:t>1</w:t>
      </w:r>
      <w:r w:rsidR="00E968A2">
        <w:rPr>
          <w:b/>
        </w:rPr>
        <w:t>5</w:t>
      </w:r>
      <w:r w:rsidR="00785715">
        <w:rPr>
          <w:b/>
        </w:rPr>
        <w:t xml:space="preserve"> </w:t>
      </w:r>
      <w:r w:rsidR="00A54A17">
        <w:rPr>
          <w:b/>
        </w:rPr>
        <w:t xml:space="preserve">et 28 </w:t>
      </w:r>
      <w:r w:rsidRPr="005A5B00">
        <w:rPr>
          <w:b/>
        </w:rPr>
        <w:t>du présent document.</w:t>
      </w:r>
      <w:r>
        <w:rPr>
          <w:b/>
        </w:rPr>
        <w:t xml:space="preserve"> De plus, le Comité demande </w:t>
      </w:r>
      <w:r w:rsidR="00D4796B">
        <w:rPr>
          <w:b/>
        </w:rPr>
        <w:t>à l’État partie de l’</w:t>
      </w:r>
      <w:r>
        <w:rPr>
          <w:b/>
        </w:rPr>
        <w:t>inform</w:t>
      </w:r>
      <w:r w:rsidR="00D4796B">
        <w:rPr>
          <w:b/>
        </w:rPr>
        <w:t xml:space="preserve">er de </w:t>
      </w:r>
      <w:r>
        <w:rPr>
          <w:b/>
        </w:rPr>
        <w:t>la suite</w:t>
      </w:r>
      <w:r w:rsidR="00D4796B">
        <w:rPr>
          <w:b/>
        </w:rPr>
        <w:t xml:space="preserve"> qui aura été</w:t>
      </w:r>
      <w:r w:rsidR="00E31656">
        <w:rPr>
          <w:b/>
        </w:rPr>
        <w:t xml:space="preserve"> </w:t>
      </w:r>
      <w:r>
        <w:rPr>
          <w:b/>
        </w:rPr>
        <w:t xml:space="preserve">donnée aux </w:t>
      </w:r>
      <w:r w:rsidR="00F82723">
        <w:rPr>
          <w:b/>
        </w:rPr>
        <w:t>recommandations</w:t>
      </w:r>
      <w:r>
        <w:rPr>
          <w:b/>
        </w:rPr>
        <w:t xml:space="preserve"> </w:t>
      </w:r>
      <w:r w:rsidR="00D4796B">
        <w:rPr>
          <w:b/>
        </w:rPr>
        <w:t xml:space="preserve">qu’il lui a adressées </w:t>
      </w:r>
      <w:r w:rsidR="00FC67E7">
        <w:rPr>
          <w:b/>
        </w:rPr>
        <w:t>sur</w:t>
      </w:r>
      <w:r w:rsidR="00D4796B">
        <w:rPr>
          <w:b/>
        </w:rPr>
        <w:t xml:space="preserve"> </w:t>
      </w:r>
      <w:r w:rsidR="005C5905">
        <w:rPr>
          <w:b/>
        </w:rPr>
        <w:t xml:space="preserve">la loi contre le terrorisme </w:t>
      </w:r>
      <w:r>
        <w:rPr>
          <w:b/>
        </w:rPr>
        <w:t xml:space="preserve">au </w:t>
      </w:r>
      <w:r w:rsidRPr="008001D3">
        <w:rPr>
          <w:b/>
        </w:rPr>
        <w:t xml:space="preserve">paragraphe </w:t>
      </w:r>
      <w:r w:rsidR="00936C81" w:rsidRPr="008001D3">
        <w:rPr>
          <w:b/>
        </w:rPr>
        <w:t>8</w:t>
      </w:r>
      <w:r w:rsidR="00F82723">
        <w:rPr>
          <w:b/>
        </w:rPr>
        <w:t xml:space="preserve"> </w:t>
      </w:r>
      <w:r>
        <w:rPr>
          <w:b/>
        </w:rPr>
        <w:t>du présent document.</w:t>
      </w:r>
    </w:p>
    <w:p w:rsidR="00361987" w:rsidRDefault="009A09FE" w:rsidP="00557738">
      <w:pPr>
        <w:pStyle w:val="SingleTxtG"/>
        <w:rPr>
          <w:b/>
        </w:rPr>
      </w:pPr>
      <w:r w:rsidRPr="00021BFF">
        <w:rPr>
          <w:b/>
        </w:rPr>
        <w:t>3</w:t>
      </w:r>
      <w:r w:rsidR="0029211D">
        <w:rPr>
          <w:b/>
        </w:rPr>
        <w:t>4</w:t>
      </w:r>
      <w:r w:rsidRPr="00021BFF">
        <w:rPr>
          <w:b/>
        </w:rPr>
        <w:t>.</w:t>
      </w:r>
      <w:r w:rsidRPr="00021BFF">
        <w:rPr>
          <w:b/>
        </w:rPr>
        <w:tab/>
        <w:t>Le Comité invite l’État partie à mettre à jour</w:t>
      </w:r>
      <w:r w:rsidR="00361987">
        <w:rPr>
          <w:b/>
        </w:rPr>
        <w:t>,</w:t>
      </w:r>
      <w:r w:rsidRPr="00021BFF">
        <w:rPr>
          <w:b/>
        </w:rPr>
        <w:t xml:space="preserve"> si nécessaire</w:t>
      </w:r>
      <w:r w:rsidR="00361987">
        <w:rPr>
          <w:b/>
        </w:rPr>
        <w:t>,</w:t>
      </w:r>
      <w:r w:rsidRPr="00021BFF">
        <w:rPr>
          <w:b/>
        </w:rPr>
        <w:t xml:space="preserve"> son document de base </w:t>
      </w:r>
      <w:r w:rsidR="00D519F8">
        <w:rPr>
          <w:b/>
        </w:rPr>
        <w:t xml:space="preserve">en date </w:t>
      </w:r>
      <w:r w:rsidRPr="00021BFF">
        <w:rPr>
          <w:b/>
        </w:rPr>
        <w:t>du 15 avril 2002 (</w:t>
      </w:r>
      <w:r w:rsidR="00557738">
        <w:rPr>
          <w:b/>
        </w:rPr>
        <w:t>HRI/CORE/</w:t>
      </w:r>
      <w:r w:rsidRPr="00021BFF">
        <w:rPr>
          <w:b/>
        </w:rPr>
        <w:t xml:space="preserve">1/Add.23/Rev.1 </w:t>
      </w:r>
      <w:r w:rsidR="00557738">
        <w:rPr>
          <w:b/>
        </w:rPr>
        <w:t>et</w:t>
      </w:r>
      <w:r w:rsidR="00557738" w:rsidRPr="00021BFF">
        <w:rPr>
          <w:b/>
        </w:rPr>
        <w:t xml:space="preserve"> </w:t>
      </w:r>
      <w:r w:rsidRPr="00021BFF">
        <w:rPr>
          <w:b/>
        </w:rPr>
        <w:t>Corr.1), conformément aux instructions relatives au document de base commun qui figure</w:t>
      </w:r>
      <w:r w:rsidR="00361987">
        <w:rPr>
          <w:b/>
        </w:rPr>
        <w:t>nt</w:t>
      </w:r>
      <w:r w:rsidRPr="00021BFF">
        <w:rPr>
          <w:b/>
        </w:rPr>
        <w:t xml:space="preserve"> dans les </w:t>
      </w:r>
      <w:r w:rsidR="00386DF0">
        <w:rPr>
          <w:b/>
        </w:rPr>
        <w:t>D</w:t>
      </w:r>
      <w:r w:rsidRPr="00021BFF">
        <w:rPr>
          <w:b/>
        </w:rPr>
        <w:t xml:space="preserve">irectives harmonisées </w:t>
      </w:r>
      <w:r w:rsidR="00D519F8">
        <w:rPr>
          <w:b/>
        </w:rPr>
        <w:t>concernant</w:t>
      </w:r>
      <w:r w:rsidR="00D519F8" w:rsidRPr="00021BFF">
        <w:rPr>
          <w:b/>
        </w:rPr>
        <w:t xml:space="preserve"> </w:t>
      </w:r>
      <w:r w:rsidRPr="00021BFF">
        <w:rPr>
          <w:b/>
        </w:rPr>
        <w:t>l’établissement de</w:t>
      </w:r>
      <w:r w:rsidR="00D519F8">
        <w:rPr>
          <w:b/>
        </w:rPr>
        <w:t>s</w:t>
      </w:r>
      <w:r w:rsidRPr="00021BFF">
        <w:rPr>
          <w:b/>
        </w:rPr>
        <w:t xml:space="preserve"> rapports </w:t>
      </w:r>
      <w:r w:rsidR="00D519F8">
        <w:rPr>
          <w:b/>
        </w:rPr>
        <w:t xml:space="preserve">destinés aux organes créés </w:t>
      </w:r>
      <w:r w:rsidRPr="00021BFF">
        <w:rPr>
          <w:b/>
        </w:rPr>
        <w:t>en vertu d</w:t>
      </w:r>
      <w:r w:rsidR="00D519F8">
        <w:rPr>
          <w:b/>
        </w:rPr>
        <w:t>’</w:t>
      </w:r>
      <w:r w:rsidRPr="00021BFF">
        <w:rPr>
          <w:b/>
        </w:rPr>
        <w:t>instruments internationaux relatifs aux droits de l’homme (HRI/GEN/2/Rev.6)</w:t>
      </w:r>
      <w:r w:rsidR="00E15CF9">
        <w:rPr>
          <w:b/>
        </w:rPr>
        <w:t>.</w:t>
      </w:r>
      <w:r w:rsidRPr="00021BFF">
        <w:rPr>
          <w:b/>
        </w:rPr>
        <w:t xml:space="preserve"> </w:t>
      </w:r>
    </w:p>
    <w:p w:rsidR="009A09FE" w:rsidRDefault="00E968A2" w:rsidP="00C331BF">
      <w:pPr>
        <w:pStyle w:val="SingleTxtG"/>
        <w:rPr>
          <w:b/>
        </w:rPr>
      </w:pPr>
      <w:r>
        <w:rPr>
          <w:b/>
        </w:rPr>
        <w:t>3</w:t>
      </w:r>
      <w:r w:rsidR="00361987">
        <w:rPr>
          <w:b/>
        </w:rPr>
        <w:t>5</w:t>
      </w:r>
      <w:r w:rsidR="009A09FE" w:rsidRPr="005A5B00">
        <w:rPr>
          <w:b/>
        </w:rPr>
        <w:t>.</w:t>
      </w:r>
      <w:r w:rsidR="009A09FE" w:rsidRPr="005A5B00">
        <w:rPr>
          <w:b/>
        </w:rPr>
        <w:tab/>
        <w:t>Le Comité invite l’État partie à soumettre son prochain rapport périodique</w:t>
      </w:r>
      <w:r w:rsidR="006634A1">
        <w:rPr>
          <w:b/>
        </w:rPr>
        <w:t>,</w:t>
      </w:r>
      <w:r w:rsidR="009A09FE" w:rsidRPr="005A5B00">
        <w:rPr>
          <w:b/>
        </w:rPr>
        <w:t xml:space="preserve"> qui sera le </w:t>
      </w:r>
      <w:r w:rsidR="006C4349">
        <w:rPr>
          <w:b/>
        </w:rPr>
        <w:t>cinquième</w:t>
      </w:r>
      <w:r w:rsidR="009A09FE" w:rsidRPr="005A5B00">
        <w:rPr>
          <w:b/>
        </w:rPr>
        <w:t>, le 25 novembre 2015 au plus tard.</w:t>
      </w:r>
      <w:r w:rsidR="008A1AFA">
        <w:rPr>
          <w:b/>
        </w:rPr>
        <w:t xml:space="preserve"> </w:t>
      </w:r>
      <w:r w:rsidR="006634A1">
        <w:rPr>
          <w:b/>
        </w:rPr>
        <w:t xml:space="preserve">À </w:t>
      </w:r>
      <w:r w:rsidR="008A1AFA">
        <w:rPr>
          <w:b/>
        </w:rPr>
        <w:t>cette fin, le Comité invite l’</w:t>
      </w:r>
      <w:r w:rsidR="00643C2B">
        <w:rPr>
          <w:b/>
        </w:rPr>
        <w:t>État</w:t>
      </w:r>
      <w:r w:rsidR="008A1AFA">
        <w:rPr>
          <w:b/>
        </w:rPr>
        <w:t xml:space="preserve"> partie à accepter, avant le 25 novembre 2012, de soumettre son rapport selon la procédure facultative qui consiste </w:t>
      </w:r>
      <w:r w:rsidR="00725F97">
        <w:rPr>
          <w:b/>
        </w:rPr>
        <w:t>en</w:t>
      </w:r>
      <w:r w:rsidR="008A1AFA">
        <w:rPr>
          <w:b/>
        </w:rPr>
        <w:t xml:space="preserve"> la transmission par le Comité à l’</w:t>
      </w:r>
      <w:r w:rsidR="00643C2B">
        <w:rPr>
          <w:b/>
        </w:rPr>
        <w:t>État</w:t>
      </w:r>
      <w:r w:rsidR="008A1AFA">
        <w:rPr>
          <w:b/>
        </w:rPr>
        <w:t xml:space="preserve"> partie d’une liste de questions </w:t>
      </w:r>
      <w:r w:rsidR="00C331BF">
        <w:rPr>
          <w:b/>
        </w:rPr>
        <w:t xml:space="preserve">préalable </w:t>
      </w:r>
      <w:r w:rsidR="008A1AFA">
        <w:rPr>
          <w:b/>
        </w:rPr>
        <w:t>au rapport périodique. La réponse de l’</w:t>
      </w:r>
      <w:r w:rsidR="00643C2B">
        <w:rPr>
          <w:b/>
        </w:rPr>
        <w:t>État</w:t>
      </w:r>
      <w:r w:rsidR="008A1AFA">
        <w:rPr>
          <w:b/>
        </w:rPr>
        <w:t xml:space="preserve"> partie à cette liste de questions préalable </w:t>
      </w:r>
      <w:r w:rsidR="00F82723">
        <w:rPr>
          <w:b/>
        </w:rPr>
        <w:t>constituera</w:t>
      </w:r>
      <w:r w:rsidR="008A1AFA" w:rsidRPr="008A1AFA">
        <w:rPr>
          <w:b/>
        </w:rPr>
        <w:t xml:space="preserve"> </w:t>
      </w:r>
      <w:r w:rsidR="008A1AFA">
        <w:rPr>
          <w:b/>
        </w:rPr>
        <w:t>le prochain</w:t>
      </w:r>
      <w:r w:rsidR="00F82723">
        <w:rPr>
          <w:b/>
        </w:rPr>
        <w:t xml:space="preserve"> rapport périodique de l’</w:t>
      </w:r>
      <w:r w:rsidR="00643C2B">
        <w:rPr>
          <w:b/>
        </w:rPr>
        <w:t>État</w:t>
      </w:r>
      <w:r w:rsidR="00F82723">
        <w:rPr>
          <w:b/>
        </w:rPr>
        <w:t xml:space="preserve"> partie</w:t>
      </w:r>
      <w:r w:rsidR="008A1AFA">
        <w:rPr>
          <w:b/>
        </w:rPr>
        <w:t xml:space="preserve">, </w:t>
      </w:r>
      <w:r w:rsidR="00F82723">
        <w:rPr>
          <w:b/>
        </w:rPr>
        <w:t>conformément à</w:t>
      </w:r>
      <w:r w:rsidR="008A1AFA">
        <w:rPr>
          <w:b/>
        </w:rPr>
        <w:t xml:space="preserve"> l’article 19 </w:t>
      </w:r>
      <w:r w:rsidR="00785715">
        <w:rPr>
          <w:b/>
        </w:rPr>
        <w:t>de la Convention.</w:t>
      </w:r>
      <w:r w:rsidR="008A1AFA">
        <w:rPr>
          <w:b/>
        </w:rPr>
        <w:t xml:space="preserve"> </w:t>
      </w:r>
    </w:p>
    <w:p w:rsidR="009A09FE" w:rsidRPr="00C036CD" w:rsidRDefault="00C036CD" w:rsidP="00C036CD">
      <w:pPr>
        <w:pStyle w:val="SingleTxtG"/>
        <w:spacing w:before="240" w:after="0"/>
        <w:jc w:val="center"/>
        <w:rPr>
          <w:sz w:val="28"/>
          <w:u w:val="single"/>
        </w:rPr>
      </w:pPr>
      <w:r>
        <w:rPr>
          <w:b/>
          <w:sz w:val="28"/>
          <w:u w:val="single"/>
        </w:rPr>
        <w:tab/>
      </w:r>
      <w:r>
        <w:rPr>
          <w:b/>
          <w:sz w:val="28"/>
          <w:u w:val="single"/>
        </w:rPr>
        <w:tab/>
      </w:r>
      <w:r>
        <w:rPr>
          <w:b/>
          <w:sz w:val="28"/>
          <w:u w:val="single"/>
        </w:rPr>
        <w:tab/>
      </w:r>
    </w:p>
    <w:sectPr w:rsidR="009A09FE" w:rsidRPr="00C036CD" w:rsidSect="00AA2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62" w:rsidRDefault="00396662"/>
  </w:endnote>
  <w:endnote w:type="continuationSeparator" w:id="0">
    <w:p w:rsidR="00396662" w:rsidRDefault="00396662"/>
  </w:endnote>
  <w:endnote w:type="continuationNotice" w:id="1">
    <w:p w:rsidR="00396662" w:rsidRDefault="0039666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AB" w:rsidRPr="00AA2FC7" w:rsidRDefault="00006BAB" w:rsidP="00AA2FC7">
    <w:pPr>
      <w:pStyle w:val="Footer"/>
      <w:tabs>
        <w:tab w:val="right" w:pos="9638"/>
      </w:tabs>
    </w:pPr>
    <w:r w:rsidRPr="00AA2FC7">
      <w:rPr>
        <w:b/>
        <w:sz w:val="18"/>
      </w:rPr>
      <w:fldChar w:fldCharType="begin"/>
    </w:r>
    <w:r w:rsidRPr="00AA2FC7">
      <w:rPr>
        <w:b/>
        <w:sz w:val="18"/>
      </w:rPr>
      <w:instrText xml:space="preserve"> PAGE  \* MERGEFORMAT </w:instrText>
    </w:r>
    <w:r w:rsidRPr="00AA2FC7">
      <w:rPr>
        <w:b/>
        <w:sz w:val="18"/>
      </w:rPr>
      <w:fldChar w:fldCharType="separate"/>
    </w:r>
    <w:r w:rsidR="009A2F9F">
      <w:rPr>
        <w:b/>
        <w:noProof/>
        <w:sz w:val="18"/>
      </w:rPr>
      <w:t>14</w:t>
    </w:r>
    <w:r w:rsidRPr="00AA2FC7">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AB" w:rsidRPr="00AA2FC7" w:rsidRDefault="00006BAB" w:rsidP="00AA2FC7">
    <w:pPr>
      <w:pStyle w:val="Footer"/>
      <w:tabs>
        <w:tab w:val="right" w:pos="9638"/>
      </w:tabs>
      <w:rPr>
        <w:b/>
        <w:sz w:val="18"/>
      </w:rPr>
    </w:pPr>
    <w:r>
      <w:tab/>
    </w:r>
    <w:r w:rsidRPr="00AA2FC7">
      <w:rPr>
        <w:b/>
        <w:sz w:val="18"/>
      </w:rPr>
      <w:fldChar w:fldCharType="begin"/>
    </w:r>
    <w:r w:rsidRPr="00AA2FC7">
      <w:rPr>
        <w:b/>
        <w:sz w:val="18"/>
      </w:rPr>
      <w:instrText xml:space="preserve"> PAGE  \* MERGEFORMAT </w:instrText>
    </w:r>
    <w:r w:rsidRPr="00AA2FC7">
      <w:rPr>
        <w:b/>
        <w:sz w:val="18"/>
      </w:rPr>
      <w:fldChar w:fldCharType="separate"/>
    </w:r>
    <w:r w:rsidR="009A2F9F">
      <w:rPr>
        <w:b/>
        <w:noProof/>
        <w:sz w:val="18"/>
      </w:rPr>
      <w:t>15</w:t>
    </w:r>
    <w:r w:rsidRPr="00AA2FC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AB" w:rsidRPr="00AA2FC7" w:rsidRDefault="00006BA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w:t>
    </w:r>
    <w:r w:rsidR="009A2F9F">
      <w:rPr>
        <w:sz w:val="20"/>
      </w:rPr>
      <w:t>47998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62" w:rsidRPr="00D27D5E" w:rsidRDefault="00396662" w:rsidP="00D27D5E">
      <w:pPr>
        <w:tabs>
          <w:tab w:val="right" w:pos="2155"/>
        </w:tabs>
        <w:spacing w:after="80"/>
        <w:ind w:left="680"/>
        <w:rPr>
          <w:u w:val="single"/>
        </w:rPr>
      </w:pPr>
      <w:r>
        <w:rPr>
          <w:u w:val="single"/>
        </w:rPr>
        <w:tab/>
      </w:r>
    </w:p>
  </w:footnote>
  <w:footnote w:type="continuationSeparator" w:id="0">
    <w:p w:rsidR="00396662" w:rsidRPr="00A103C4" w:rsidRDefault="00396662" w:rsidP="00A103C4">
      <w:pPr>
        <w:tabs>
          <w:tab w:val="right" w:pos="2155"/>
        </w:tabs>
        <w:spacing w:after="80"/>
        <w:ind w:left="680"/>
        <w:rPr>
          <w:u w:val="single"/>
        </w:rPr>
      </w:pPr>
      <w:r w:rsidRPr="00A103C4">
        <w:rPr>
          <w:u w:val="single"/>
        </w:rPr>
        <w:tab/>
      </w:r>
    </w:p>
  </w:footnote>
  <w:footnote w:type="continuationNotice" w:id="1">
    <w:p w:rsidR="00396662" w:rsidRDefault="00396662"/>
  </w:footnote>
  <w:footnote w:id="2">
    <w:p w:rsidR="00006BAB" w:rsidRDefault="00006BAB" w:rsidP="002A58BE">
      <w:pPr>
        <w:pStyle w:val="FootnoteText"/>
        <w:ind w:firstLine="0"/>
      </w:pPr>
      <w:r>
        <w:rPr>
          <w:rStyle w:val="FootnoteReference"/>
        </w:rPr>
        <w:footnoteRef/>
      </w:r>
      <w:r>
        <w:t xml:space="preserve"> CAT/C/CR/31/2, recommandation 6, al. </w:t>
      </w:r>
      <w:r w:rsidRPr="00BF722C">
        <w:rPr>
          <w:i/>
          <w:iCs/>
        </w:rPr>
        <w:t>d</w:t>
      </w:r>
      <w:r>
        <w:t>.</w:t>
      </w:r>
    </w:p>
  </w:footnote>
  <w:footnote w:id="3">
    <w:p w:rsidR="00006BAB" w:rsidRDefault="00006BAB" w:rsidP="002F4D65">
      <w:pPr>
        <w:pStyle w:val="FootnoteText"/>
        <w:ind w:firstLine="0"/>
      </w:pPr>
      <w:r>
        <w:rPr>
          <w:rStyle w:val="FootnoteReference"/>
        </w:rPr>
        <w:footnoteRef/>
      </w:r>
      <w:r>
        <w:t xml:space="preserve"> CAT, décision n</w:t>
      </w:r>
      <w:r w:rsidRPr="002F4D65">
        <w:rPr>
          <w:vertAlign w:val="superscript"/>
        </w:rPr>
        <w:t>o</w:t>
      </w:r>
      <w:r>
        <w:t xml:space="preserve"> 419/2010 du 26 mai 2011.</w:t>
      </w:r>
    </w:p>
  </w:footnote>
  <w:footnote w:id="4">
    <w:p w:rsidR="00006BAB" w:rsidRDefault="00006BAB" w:rsidP="007D3D17">
      <w:pPr>
        <w:pStyle w:val="FootnoteText"/>
        <w:ind w:right="567" w:firstLine="0"/>
      </w:pPr>
      <w:r>
        <w:rPr>
          <w:rStyle w:val="FootnoteReference"/>
        </w:rPr>
        <w:footnoteRef/>
      </w:r>
      <w:r w:rsidRPr="00280FB2">
        <w:t xml:space="preserve"> </w:t>
      </w:r>
      <w:r>
        <w:t xml:space="preserve">Conseil économique et social, résolutions </w:t>
      </w:r>
      <w:r w:rsidRPr="00EF1A75">
        <w:t>663C</w:t>
      </w:r>
      <w:r>
        <w:t xml:space="preserve"> (XXIV) du 31 juillet 1957 et 2076 (LXII) du 13 mai 1977.</w:t>
      </w:r>
    </w:p>
  </w:footnote>
  <w:footnote w:id="5">
    <w:p w:rsidR="00006BAB" w:rsidRDefault="00006BAB" w:rsidP="009A09FE">
      <w:pPr>
        <w:pStyle w:val="FootnoteText"/>
        <w:ind w:firstLine="0"/>
      </w:pPr>
      <w:r>
        <w:rPr>
          <w:rStyle w:val="FootnoteReference"/>
        </w:rPr>
        <w:footnoteRef/>
      </w:r>
      <w:r w:rsidRPr="002E1528">
        <w:t xml:space="preserve"> Assemblée g</w:t>
      </w:r>
      <w:r>
        <w:t>é</w:t>
      </w:r>
      <w:r w:rsidRPr="002E1528">
        <w:t>nérale des Nations Unies, résolution</w:t>
      </w:r>
      <w:r>
        <w:t xml:space="preserve"> </w:t>
      </w:r>
      <w:r w:rsidRPr="002E1528">
        <w:t>45/110 du 14 décembre1990.</w:t>
      </w:r>
    </w:p>
  </w:footnote>
  <w:footnote w:id="6">
    <w:p w:rsidR="00006BAB" w:rsidRPr="007166CC" w:rsidRDefault="00006BAB" w:rsidP="001B38ED">
      <w:pPr>
        <w:pStyle w:val="FootnoteText"/>
        <w:ind w:firstLine="0"/>
        <w:rPr>
          <w:lang w:val="es-ES"/>
        </w:rPr>
      </w:pPr>
      <w:r>
        <w:rPr>
          <w:rStyle w:val="FootnoteReference"/>
        </w:rPr>
        <w:footnoteRef/>
      </w:r>
      <w:r w:rsidRPr="007C1269">
        <w:rPr>
          <w:lang w:val="es-ES"/>
        </w:rPr>
        <w:t xml:space="preserve"> CEDAW/C/MAR/CO/4, par. </w:t>
      </w:r>
      <w:r w:rsidRPr="007166CC">
        <w:rPr>
          <w:lang w:val="es-ES"/>
        </w:rPr>
        <w:t>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AB" w:rsidRPr="00AA2FC7" w:rsidRDefault="00006BAB" w:rsidP="00DB5B16">
    <w:pPr>
      <w:pStyle w:val="Header"/>
    </w:pPr>
    <w:r>
      <w:t>CAT/C/MAR/CO/4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AB" w:rsidRPr="00AA2FC7" w:rsidRDefault="00006BAB" w:rsidP="00DB5B16">
    <w:pPr>
      <w:pStyle w:val="Header"/>
      <w:jc w:val="right"/>
    </w:pPr>
    <w:r>
      <w:t>CAT/C/MAR/CO/4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9F" w:rsidRDefault="009A2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FE7"/>
    <w:rsid w:val="000008FB"/>
    <w:rsid w:val="0000251A"/>
    <w:rsid w:val="0000600E"/>
    <w:rsid w:val="00006BAB"/>
    <w:rsid w:val="000124AD"/>
    <w:rsid w:val="00016AC5"/>
    <w:rsid w:val="00016FA5"/>
    <w:rsid w:val="00020738"/>
    <w:rsid w:val="0002080D"/>
    <w:rsid w:val="00021BFF"/>
    <w:rsid w:val="00022F5A"/>
    <w:rsid w:val="000233A3"/>
    <w:rsid w:val="00032EA6"/>
    <w:rsid w:val="00035414"/>
    <w:rsid w:val="0003705F"/>
    <w:rsid w:val="00043851"/>
    <w:rsid w:val="00045912"/>
    <w:rsid w:val="000468F8"/>
    <w:rsid w:val="00054915"/>
    <w:rsid w:val="00060CB5"/>
    <w:rsid w:val="00060CE2"/>
    <w:rsid w:val="00062C6A"/>
    <w:rsid w:val="00065660"/>
    <w:rsid w:val="0006674A"/>
    <w:rsid w:val="000706C0"/>
    <w:rsid w:val="0007331D"/>
    <w:rsid w:val="0007376E"/>
    <w:rsid w:val="00074863"/>
    <w:rsid w:val="00074D5D"/>
    <w:rsid w:val="000766AF"/>
    <w:rsid w:val="00080A64"/>
    <w:rsid w:val="00080B41"/>
    <w:rsid w:val="0009657A"/>
    <w:rsid w:val="00097C89"/>
    <w:rsid w:val="000A1B67"/>
    <w:rsid w:val="000A5E39"/>
    <w:rsid w:val="000A6B2D"/>
    <w:rsid w:val="000A7DFF"/>
    <w:rsid w:val="000B1895"/>
    <w:rsid w:val="000B20EC"/>
    <w:rsid w:val="000B3042"/>
    <w:rsid w:val="000B44D1"/>
    <w:rsid w:val="000B6AA8"/>
    <w:rsid w:val="000C1C0B"/>
    <w:rsid w:val="000C256D"/>
    <w:rsid w:val="000C2FD2"/>
    <w:rsid w:val="000C3CFB"/>
    <w:rsid w:val="000C67B2"/>
    <w:rsid w:val="000D10E9"/>
    <w:rsid w:val="000D2AE7"/>
    <w:rsid w:val="000D45DA"/>
    <w:rsid w:val="000E3975"/>
    <w:rsid w:val="000E60D8"/>
    <w:rsid w:val="000F0344"/>
    <w:rsid w:val="000F271B"/>
    <w:rsid w:val="000F41F2"/>
    <w:rsid w:val="000F6347"/>
    <w:rsid w:val="000F6B7B"/>
    <w:rsid w:val="00102D5A"/>
    <w:rsid w:val="0011004E"/>
    <w:rsid w:val="00110B26"/>
    <w:rsid w:val="001123F6"/>
    <w:rsid w:val="0011385C"/>
    <w:rsid w:val="00120207"/>
    <w:rsid w:val="001235F5"/>
    <w:rsid w:val="00123FBF"/>
    <w:rsid w:val="00124E64"/>
    <w:rsid w:val="001266E4"/>
    <w:rsid w:val="0013001B"/>
    <w:rsid w:val="00130B3A"/>
    <w:rsid w:val="001357A2"/>
    <w:rsid w:val="00135E90"/>
    <w:rsid w:val="001412D2"/>
    <w:rsid w:val="00150313"/>
    <w:rsid w:val="00151FA2"/>
    <w:rsid w:val="001538CE"/>
    <w:rsid w:val="00160540"/>
    <w:rsid w:val="0016474F"/>
    <w:rsid w:val="00165CF6"/>
    <w:rsid w:val="00166B0F"/>
    <w:rsid w:val="00170714"/>
    <w:rsid w:val="00174E44"/>
    <w:rsid w:val="00182935"/>
    <w:rsid w:val="00187375"/>
    <w:rsid w:val="00192EEB"/>
    <w:rsid w:val="00193175"/>
    <w:rsid w:val="00194064"/>
    <w:rsid w:val="00194965"/>
    <w:rsid w:val="00195426"/>
    <w:rsid w:val="001A076C"/>
    <w:rsid w:val="001A20FB"/>
    <w:rsid w:val="001A2C05"/>
    <w:rsid w:val="001A7635"/>
    <w:rsid w:val="001B074A"/>
    <w:rsid w:val="001B2300"/>
    <w:rsid w:val="001B38ED"/>
    <w:rsid w:val="001C00FD"/>
    <w:rsid w:val="001C23BA"/>
    <w:rsid w:val="001C5464"/>
    <w:rsid w:val="001C7838"/>
    <w:rsid w:val="001D3A2B"/>
    <w:rsid w:val="001D7F8A"/>
    <w:rsid w:val="001E0D91"/>
    <w:rsid w:val="001E1198"/>
    <w:rsid w:val="001E3FEB"/>
    <w:rsid w:val="001E47CC"/>
    <w:rsid w:val="001E47D1"/>
    <w:rsid w:val="001E4A02"/>
    <w:rsid w:val="001E51C7"/>
    <w:rsid w:val="001F0B98"/>
    <w:rsid w:val="001F0C2B"/>
    <w:rsid w:val="001F655D"/>
    <w:rsid w:val="001F7627"/>
    <w:rsid w:val="001F7784"/>
    <w:rsid w:val="002040C0"/>
    <w:rsid w:val="00206622"/>
    <w:rsid w:val="00210173"/>
    <w:rsid w:val="00213A8A"/>
    <w:rsid w:val="0021484C"/>
    <w:rsid w:val="00217BB5"/>
    <w:rsid w:val="00225A8C"/>
    <w:rsid w:val="00226DF5"/>
    <w:rsid w:val="00237D9A"/>
    <w:rsid w:val="00241748"/>
    <w:rsid w:val="0024291D"/>
    <w:rsid w:val="00243600"/>
    <w:rsid w:val="002462D6"/>
    <w:rsid w:val="00246FB9"/>
    <w:rsid w:val="00251AE7"/>
    <w:rsid w:val="00251EE9"/>
    <w:rsid w:val="002659F1"/>
    <w:rsid w:val="00266640"/>
    <w:rsid w:val="00271906"/>
    <w:rsid w:val="002733BC"/>
    <w:rsid w:val="0027352C"/>
    <w:rsid w:val="002736D6"/>
    <w:rsid w:val="00274224"/>
    <w:rsid w:val="00286838"/>
    <w:rsid w:val="00287E79"/>
    <w:rsid w:val="00287FB4"/>
    <w:rsid w:val="0029102F"/>
    <w:rsid w:val="0029211D"/>
    <w:rsid w:val="002927FD"/>
    <w:rsid w:val="002928F9"/>
    <w:rsid w:val="00294125"/>
    <w:rsid w:val="00295CBE"/>
    <w:rsid w:val="00297B00"/>
    <w:rsid w:val="002A07E6"/>
    <w:rsid w:val="002A1B1D"/>
    <w:rsid w:val="002A58BE"/>
    <w:rsid w:val="002A5D07"/>
    <w:rsid w:val="002B2DAE"/>
    <w:rsid w:val="002B5542"/>
    <w:rsid w:val="002D252A"/>
    <w:rsid w:val="002E0C1D"/>
    <w:rsid w:val="002E38B2"/>
    <w:rsid w:val="002E4D01"/>
    <w:rsid w:val="002E7AFD"/>
    <w:rsid w:val="002F4D65"/>
    <w:rsid w:val="002F6060"/>
    <w:rsid w:val="003016B7"/>
    <w:rsid w:val="00301B9F"/>
    <w:rsid w:val="00306834"/>
    <w:rsid w:val="00310C0D"/>
    <w:rsid w:val="00310EB1"/>
    <w:rsid w:val="00311ADA"/>
    <w:rsid w:val="00315797"/>
    <w:rsid w:val="00315DE2"/>
    <w:rsid w:val="003315AD"/>
    <w:rsid w:val="00335264"/>
    <w:rsid w:val="0034685D"/>
    <w:rsid w:val="003515AA"/>
    <w:rsid w:val="00352E00"/>
    <w:rsid w:val="003536BF"/>
    <w:rsid w:val="003612C3"/>
    <w:rsid w:val="00361987"/>
    <w:rsid w:val="00361B77"/>
    <w:rsid w:val="003652DD"/>
    <w:rsid w:val="00366A0F"/>
    <w:rsid w:val="00370306"/>
    <w:rsid w:val="00370473"/>
    <w:rsid w:val="00373CD4"/>
    <w:rsid w:val="00373D9E"/>
    <w:rsid w:val="00374106"/>
    <w:rsid w:val="00382236"/>
    <w:rsid w:val="00382F8E"/>
    <w:rsid w:val="00386DF0"/>
    <w:rsid w:val="00396662"/>
    <w:rsid w:val="003976D5"/>
    <w:rsid w:val="00397799"/>
    <w:rsid w:val="003A0180"/>
    <w:rsid w:val="003A72E6"/>
    <w:rsid w:val="003B52F9"/>
    <w:rsid w:val="003C1E56"/>
    <w:rsid w:val="003C1E93"/>
    <w:rsid w:val="003C3BC1"/>
    <w:rsid w:val="003C4D55"/>
    <w:rsid w:val="003D10B2"/>
    <w:rsid w:val="003D2D36"/>
    <w:rsid w:val="003D374A"/>
    <w:rsid w:val="003D4E25"/>
    <w:rsid w:val="003D4E3D"/>
    <w:rsid w:val="003D5D8D"/>
    <w:rsid w:val="003D69FB"/>
    <w:rsid w:val="003D6C68"/>
    <w:rsid w:val="003E410C"/>
    <w:rsid w:val="003F34EC"/>
    <w:rsid w:val="00406E78"/>
    <w:rsid w:val="004102B8"/>
    <w:rsid w:val="00411AA1"/>
    <w:rsid w:val="00411B2B"/>
    <w:rsid w:val="00414EDB"/>
    <w:rsid w:val="004159D0"/>
    <w:rsid w:val="00420278"/>
    <w:rsid w:val="004212B2"/>
    <w:rsid w:val="00422E8A"/>
    <w:rsid w:val="00430ADE"/>
    <w:rsid w:val="0043325B"/>
    <w:rsid w:val="00440044"/>
    <w:rsid w:val="00441D07"/>
    <w:rsid w:val="00442FBC"/>
    <w:rsid w:val="00455D94"/>
    <w:rsid w:val="004725CF"/>
    <w:rsid w:val="00473D81"/>
    <w:rsid w:val="00475944"/>
    <w:rsid w:val="00480A12"/>
    <w:rsid w:val="004817C4"/>
    <w:rsid w:val="00482D40"/>
    <w:rsid w:val="00483DB8"/>
    <w:rsid w:val="00484943"/>
    <w:rsid w:val="00486564"/>
    <w:rsid w:val="00495A6B"/>
    <w:rsid w:val="00495C3B"/>
    <w:rsid w:val="00495D94"/>
    <w:rsid w:val="004A0626"/>
    <w:rsid w:val="004A1B60"/>
    <w:rsid w:val="004A20E3"/>
    <w:rsid w:val="004A3C38"/>
    <w:rsid w:val="004A5486"/>
    <w:rsid w:val="004B38E9"/>
    <w:rsid w:val="004C2946"/>
    <w:rsid w:val="004C4A79"/>
    <w:rsid w:val="004C543E"/>
    <w:rsid w:val="004E0F3A"/>
    <w:rsid w:val="004E26E4"/>
    <w:rsid w:val="004E6DF0"/>
    <w:rsid w:val="004F0829"/>
    <w:rsid w:val="004F144A"/>
    <w:rsid w:val="004F4B54"/>
    <w:rsid w:val="00501442"/>
    <w:rsid w:val="00503436"/>
    <w:rsid w:val="00506646"/>
    <w:rsid w:val="00517818"/>
    <w:rsid w:val="00517AC5"/>
    <w:rsid w:val="00521CF8"/>
    <w:rsid w:val="0052397A"/>
    <w:rsid w:val="005247AC"/>
    <w:rsid w:val="00525DBB"/>
    <w:rsid w:val="005331D7"/>
    <w:rsid w:val="00543D5E"/>
    <w:rsid w:val="00557738"/>
    <w:rsid w:val="005610B3"/>
    <w:rsid w:val="00562E7A"/>
    <w:rsid w:val="00565992"/>
    <w:rsid w:val="00566478"/>
    <w:rsid w:val="00566BD5"/>
    <w:rsid w:val="00570B58"/>
    <w:rsid w:val="00570C73"/>
    <w:rsid w:val="00571F41"/>
    <w:rsid w:val="0059294C"/>
    <w:rsid w:val="00597687"/>
    <w:rsid w:val="005A5B00"/>
    <w:rsid w:val="005A6066"/>
    <w:rsid w:val="005A7DF1"/>
    <w:rsid w:val="005B0B4E"/>
    <w:rsid w:val="005B451E"/>
    <w:rsid w:val="005C0E3A"/>
    <w:rsid w:val="005C32AF"/>
    <w:rsid w:val="005C5905"/>
    <w:rsid w:val="005C626D"/>
    <w:rsid w:val="005C6319"/>
    <w:rsid w:val="005D0661"/>
    <w:rsid w:val="005D5873"/>
    <w:rsid w:val="005E0932"/>
    <w:rsid w:val="005E2608"/>
    <w:rsid w:val="005E5D1F"/>
    <w:rsid w:val="005E6099"/>
    <w:rsid w:val="005E6C23"/>
    <w:rsid w:val="005E76E6"/>
    <w:rsid w:val="005F4CB4"/>
    <w:rsid w:val="005F7523"/>
    <w:rsid w:val="006112FC"/>
    <w:rsid w:val="00611D43"/>
    <w:rsid w:val="00612D48"/>
    <w:rsid w:val="00613ED7"/>
    <w:rsid w:val="00614996"/>
    <w:rsid w:val="00616B45"/>
    <w:rsid w:val="00616F24"/>
    <w:rsid w:val="006214F8"/>
    <w:rsid w:val="006240D1"/>
    <w:rsid w:val="006258B2"/>
    <w:rsid w:val="00626B15"/>
    <w:rsid w:val="00630D9B"/>
    <w:rsid w:val="00631953"/>
    <w:rsid w:val="00634D22"/>
    <w:rsid w:val="00637093"/>
    <w:rsid w:val="006379F8"/>
    <w:rsid w:val="006439EC"/>
    <w:rsid w:val="00643C2B"/>
    <w:rsid w:val="006451AB"/>
    <w:rsid w:val="00645EE2"/>
    <w:rsid w:val="00647C8B"/>
    <w:rsid w:val="0065344E"/>
    <w:rsid w:val="00657091"/>
    <w:rsid w:val="006634A1"/>
    <w:rsid w:val="006642EA"/>
    <w:rsid w:val="006647E0"/>
    <w:rsid w:val="00672C70"/>
    <w:rsid w:val="006755BB"/>
    <w:rsid w:val="00677E3E"/>
    <w:rsid w:val="00681087"/>
    <w:rsid w:val="00682AFB"/>
    <w:rsid w:val="00683BB7"/>
    <w:rsid w:val="00691BF3"/>
    <w:rsid w:val="006931E0"/>
    <w:rsid w:val="00694560"/>
    <w:rsid w:val="00696549"/>
    <w:rsid w:val="006A1F67"/>
    <w:rsid w:val="006A412A"/>
    <w:rsid w:val="006B132B"/>
    <w:rsid w:val="006B1B37"/>
    <w:rsid w:val="006B3228"/>
    <w:rsid w:val="006B340D"/>
    <w:rsid w:val="006B4590"/>
    <w:rsid w:val="006B5E5B"/>
    <w:rsid w:val="006B6276"/>
    <w:rsid w:val="006B74CD"/>
    <w:rsid w:val="006C05C7"/>
    <w:rsid w:val="006C340C"/>
    <w:rsid w:val="006C4349"/>
    <w:rsid w:val="006C454D"/>
    <w:rsid w:val="006C77D3"/>
    <w:rsid w:val="006D541F"/>
    <w:rsid w:val="006E00BA"/>
    <w:rsid w:val="006E0FED"/>
    <w:rsid w:val="006E1CA4"/>
    <w:rsid w:val="006E6C41"/>
    <w:rsid w:val="006E7A09"/>
    <w:rsid w:val="006F4DF5"/>
    <w:rsid w:val="006F643B"/>
    <w:rsid w:val="006F6C2B"/>
    <w:rsid w:val="00700D11"/>
    <w:rsid w:val="0070347C"/>
    <w:rsid w:val="007038C2"/>
    <w:rsid w:val="00704808"/>
    <w:rsid w:val="007050E2"/>
    <w:rsid w:val="00706A65"/>
    <w:rsid w:val="007166CC"/>
    <w:rsid w:val="007169D9"/>
    <w:rsid w:val="007176C1"/>
    <w:rsid w:val="00723412"/>
    <w:rsid w:val="00725F97"/>
    <w:rsid w:val="00732390"/>
    <w:rsid w:val="007344EE"/>
    <w:rsid w:val="007511F4"/>
    <w:rsid w:val="007565D7"/>
    <w:rsid w:val="00763C65"/>
    <w:rsid w:val="00772DB6"/>
    <w:rsid w:val="00776C6F"/>
    <w:rsid w:val="007825A0"/>
    <w:rsid w:val="007830D7"/>
    <w:rsid w:val="00785715"/>
    <w:rsid w:val="00795383"/>
    <w:rsid w:val="007A5257"/>
    <w:rsid w:val="007B0499"/>
    <w:rsid w:val="007B1FBE"/>
    <w:rsid w:val="007B26D0"/>
    <w:rsid w:val="007B48A5"/>
    <w:rsid w:val="007B6B5D"/>
    <w:rsid w:val="007B76C1"/>
    <w:rsid w:val="007C6413"/>
    <w:rsid w:val="007D0357"/>
    <w:rsid w:val="007D2012"/>
    <w:rsid w:val="007D3167"/>
    <w:rsid w:val="007D3D17"/>
    <w:rsid w:val="007D4BE5"/>
    <w:rsid w:val="007E1481"/>
    <w:rsid w:val="007E45F8"/>
    <w:rsid w:val="007E7D2B"/>
    <w:rsid w:val="007E7FAE"/>
    <w:rsid w:val="007F07AE"/>
    <w:rsid w:val="007F3FA0"/>
    <w:rsid w:val="007F55CB"/>
    <w:rsid w:val="008001CA"/>
    <w:rsid w:val="008001D3"/>
    <w:rsid w:val="00800A69"/>
    <w:rsid w:val="00800D30"/>
    <w:rsid w:val="00800DD0"/>
    <w:rsid w:val="00800EE9"/>
    <w:rsid w:val="00803D18"/>
    <w:rsid w:val="00807C00"/>
    <w:rsid w:val="00811C2E"/>
    <w:rsid w:val="0081252F"/>
    <w:rsid w:val="008128F7"/>
    <w:rsid w:val="00816A4E"/>
    <w:rsid w:val="00817F9C"/>
    <w:rsid w:val="00822AAF"/>
    <w:rsid w:val="008234C2"/>
    <w:rsid w:val="00823838"/>
    <w:rsid w:val="00830D8E"/>
    <w:rsid w:val="008326C6"/>
    <w:rsid w:val="00836ECC"/>
    <w:rsid w:val="008438CB"/>
    <w:rsid w:val="00844750"/>
    <w:rsid w:val="00844E64"/>
    <w:rsid w:val="008464C8"/>
    <w:rsid w:val="008517C0"/>
    <w:rsid w:val="00855013"/>
    <w:rsid w:val="00864D02"/>
    <w:rsid w:val="00864EB6"/>
    <w:rsid w:val="008654B8"/>
    <w:rsid w:val="00867876"/>
    <w:rsid w:val="00874B50"/>
    <w:rsid w:val="00875EEF"/>
    <w:rsid w:val="008900C6"/>
    <w:rsid w:val="008967EF"/>
    <w:rsid w:val="008A1AFA"/>
    <w:rsid w:val="008A28A7"/>
    <w:rsid w:val="008B44C4"/>
    <w:rsid w:val="008B4AD7"/>
    <w:rsid w:val="008C0635"/>
    <w:rsid w:val="008C0AF2"/>
    <w:rsid w:val="008C1779"/>
    <w:rsid w:val="008C7241"/>
    <w:rsid w:val="008D143C"/>
    <w:rsid w:val="008E37AB"/>
    <w:rsid w:val="008E675E"/>
    <w:rsid w:val="008E7FAE"/>
    <w:rsid w:val="008F0383"/>
    <w:rsid w:val="0090064F"/>
    <w:rsid w:val="00900D1A"/>
    <w:rsid w:val="00904B44"/>
    <w:rsid w:val="0090567B"/>
    <w:rsid w:val="00906D5D"/>
    <w:rsid w:val="00911BF7"/>
    <w:rsid w:val="0091304C"/>
    <w:rsid w:val="009151F2"/>
    <w:rsid w:val="0091760B"/>
    <w:rsid w:val="00920315"/>
    <w:rsid w:val="009242AD"/>
    <w:rsid w:val="00936C03"/>
    <w:rsid w:val="00936C81"/>
    <w:rsid w:val="009371BC"/>
    <w:rsid w:val="00944840"/>
    <w:rsid w:val="0095168A"/>
    <w:rsid w:val="0095173B"/>
    <w:rsid w:val="00952863"/>
    <w:rsid w:val="00955423"/>
    <w:rsid w:val="00956784"/>
    <w:rsid w:val="00961B27"/>
    <w:rsid w:val="00961C97"/>
    <w:rsid w:val="009627EA"/>
    <w:rsid w:val="00966E19"/>
    <w:rsid w:val="00970069"/>
    <w:rsid w:val="0097195B"/>
    <w:rsid w:val="00975B8C"/>
    <w:rsid w:val="00977EC8"/>
    <w:rsid w:val="00995999"/>
    <w:rsid w:val="00995D52"/>
    <w:rsid w:val="009A09FE"/>
    <w:rsid w:val="009A2F9F"/>
    <w:rsid w:val="009A38E0"/>
    <w:rsid w:val="009A489D"/>
    <w:rsid w:val="009A6881"/>
    <w:rsid w:val="009B5DAC"/>
    <w:rsid w:val="009C7E09"/>
    <w:rsid w:val="009C7E1F"/>
    <w:rsid w:val="009D36F3"/>
    <w:rsid w:val="009D3A8C"/>
    <w:rsid w:val="009D3F8A"/>
    <w:rsid w:val="009D4EC4"/>
    <w:rsid w:val="009E4D00"/>
    <w:rsid w:val="009E7956"/>
    <w:rsid w:val="009F0861"/>
    <w:rsid w:val="009F6D7A"/>
    <w:rsid w:val="00A039CE"/>
    <w:rsid w:val="00A045E9"/>
    <w:rsid w:val="00A046E7"/>
    <w:rsid w:val="00A06E00"/>
    <w:rsid w:val="00A103C4"/>
    <w:rsid w:val="00A118E2"/>
    <w:rsid w:val="00A2492E"/>
    <w:rsid w:val="00A24DDF"/>
    <w:rsid w:val="00A25386"/>
    <w:rsid w:val="00A426E2"/>
    <w:rsid w:val="00A50390"/>
    <w:rsid w:val="00A50645"/>
    <w:rsid w:val="00A5066D"/>
    <w:rsid w:val="00A531FA"/>
    <w:rsid w:val="00A54A17"/>
    <w:rsid w:val="00A56606"/>
    <w:rsid w:val="00A56EA8"/>
    <w:rsid w:val="00A5748D"/>
    <w:rsid w:val="00A577F6"/>
    <w:rsid w:val="00A614E2"/>
    <w:rsid w:val="00A64317"/>
    <w:rsid w:val="00A64B9F"/>
    <w:rsid w:val="00A74631"/>
    <w:rsid w:val="00A809E1"/>
    <w:rsid w:val="00A82F1C"/>
    <w:rsid w:val="00A905D8"/>
    <w:rsid w:val="00A90870"/>
    <w:rsid w:val="00A91079"/>
    <w:rsid w:val="00A91350"/>
    <w:rsid w:val="00AA11E0"/>
    <w:rsid w:val="00AA2FC7"/>
    <w:rsid w:val="00AA3218"/>
    <w:rsid w:val="00AB0EF1"/>
    <w:rsid w:val="00AB4603"/>
    <w:rsid w:val="00AC3391"/>
    <w:rsid w:val="00AC67A1"/>
    <w:rsid w:val="00AC67FC"/>
    <w:rsid w:val="00AC7977"/>
    <w:rsid w:val="00AD3D52"/>
    <w:rsid w:val="00AE352C"/>
    <w:rsid w:val="00AF07EE"/>
    <w:rsid w:val="00AF2BE0"/>
    <w:rsid w:val="00AF3F0D"/>
    <w:rsid w:val="00AF4650"/>
    <w:rsid w:val="00AF7A7A"/>
    <w:rsid w:val="00B04EF1"/>
    <w:rsid w:val="00B05449"/>
    <w:rsid w:val="00B125FE"/>
    <w:rsid w:val="00B153D9"/>
    <w:rsid w:val="00B15A79"/>
    <w:rsid w:val="00B17953"/>
    <w:rsid w:val="00B21207"/>
    <w:rsid w:val="00B26DB9"/>
    <w:rsid w:val="00B31302"/>
    <w:rsid w:val="00B32E2D"/>
    <w:rsid w:val="00B33BDA"/>
    <w:rsid w:val="00B34EC6"/>
    <w:rsid w:val="00B35082"/>
    <w:rsid w:val="00B559DD"/>
    <w:rsid w:val="00B61990"/>
    <w:rsid w:val="00B63A55"/>
    <w:rsid w:val="00B64CDE"/>
    <w:rsid w:val="00B662D3"/>
    <w:rsid w:val="00B71EE5"/>
    <w:rsid w:val="00B75936"/>
    <w:rsid w:val="00B77271"/>
    <w:rsid w:val="00B77C99"/>
    <w:rsid w:val="00B82BF5"/>
    <w:rsid w:val="00BA31B5"/>
    <w:rsid w:val="00BA5D52"/>
    <w:rsid w:val="00BB5048"/>
    <w:rsid w:val="00BC07EA"/>
    <w:rsid w:val="00BC223A"/>
    <w:rsid w:val="00BC2AEB"/>
    <w:rsid w:val="00BC321A"/>
    <w:rsid w:val="00BC4B18"/>
    <w:rsid w:val="00BC4FE7"/>
    <w:rsid w:val="00BC539E"/>
    <w:rsid w:val="00BC554A"/>
    <w:rsid w:val="00BC730A"/>
    <w:rsid w:val="00BD0938"/>
    <w:rsid w:val="00BD74BC"/>
    <w:rsid w:val="00BE45B4"/>
    <w:rsid w:val="00BF04CA"/>
    <w:rsid w:val="00BF0556"/>
    <w:rsid w:val="00BF2C72"/>
    <w:rsid w:val="00BF722C"/>
    <w:rsid w:val="00C005F9"/>
    <w:rsid w:val="00C00CBA"/>
    <w:rsid w:val="00C0317E"/>
    <w:rsid w:val="00C036CD"/>
    <w:rsid w:val="00C04376"/>
    <w:rsid w:val="00C049FB"/>
    <w:rsid w:val="00C143B1"/>
    <w:rsid w:val="00C145AB"/>
    <w:rsid w:val="00C1562D"/>
    <w:rsid w:val="00C15A65"/>
    <w:rsid w:val="00C15E07"/>
    <w:rsid w:val="00C20509"/>
    <w:rsid w:val="00C212C3"/>
    <w:rsid w:val="00C23F7C"/>
    <w:rsid w:val="00C261F8"/>
    <w:rsid w:val="00C30424"/>
    <w:rsid w:val="00C31929"/>
    <w:rsid w:val="00C31E51"/>
    <w:rsid w:val="00C33100"/>
    <w:rsid w:val="00C331BF"/>
    <w:rsid w:val="00C3439D"/>
    <w:rsid w:val="00C36448"/>
    <w:rsid w:val="00C4152C"/>
    <w:rsid w:val="00C41F4F"/>
    <w:rsid w:val="00C42566"/>
    <w:rsid w:val="00C46A33"/>
    <w:rsid w:val="00C47599"/>
    <w:rsid w:val="00C52D9D"/>
    <w:rsid w:val="00C5434A"/>
    <w:rsid w:val="00C61FBE"/>
    <w:rsid w:val="00C818AB"/>
    <w:rsid w:val="00C83A9D"/>
    <w:rsid w:val="00C85B03"/>
    <w:rsid w:val="00C90A33"/>
    <w:rsid w:val="00C90D9C"/>
    <w:rsid w:val="00C94574"/>
    <w:rsid w:val="00C97F64"/>
    <w:rsid w:val="00CA098C"/>
    <w:rsid w:val="00CA2DE3"/>
    <w:rsid w:val="00CA2EE5"/>
    <w:rsid w:val="00CA7CAA"/>
    <w:rsid w:val="00CB172D"/>
    <w:rsid w:val="00CB18C7"/>
    <w:rsid w:val="00CB45E6"/>
    <w:rsid w:val="00CB5EEE"/>
    <w:rsid w:val="00CB6F6E"/>
    <w:rsid w:val="00CB72CF"/>
    <w:rsid w:val="00CC612E"/>
    <w:rsid w:val="00CD1A71"/>
    <w:rsid w:val="00CD1FBB"/>
    <w:rsid w:val="00CE3D6C"/>
    <w:rsid w:val="00CE7C0C"/>
    <w:rsid w:val="00CF02BF"/>
    <w:rsid w:val="00D00D92"/>
    <w:rsid w:val="00D016B5"/>
    <w:rsid w:val="00D034F1"/>
    <w:rsid w:val="00D12AA5"/>
    <w:rsid w:val="00D13163"/>
    <w:rsid w:val="00D210ED"/>
    <w:rsid w:val="00D217DC"/>
    <w:rsid w:val="00D23E98"/>
    <w:rsid w:val="00D2715E"/>
    <w:rsid w:val="00D27D5E"/>
    <w:rsid w:val="00D33D77"/>
    <w:rsid w:val="00D34887"/>
    <w:rsid w:val="00D405D6"/>
    <w:rsid w:val="00D4796B"/>
    <w:rsid w:val="00D519F8"/>
    <w:rsid w:val="00D5431D"/>
    <w:rsid w:val="00D55740"/>
    <w:rsid w:val="00D560BE"/>
    <w:rsid w:val="00D64316"/>
    <w:rsid w:val="00D73EF4"/>
    <w:rsid w:val="00D7525C"/>
    <w:rsid w:val="00D81713"/>
    <w:rsid w:val="00D82545"/>
    <w:rsid w:val="00D85546"/>
    <w:rsid w:val="00D92E7F"/>
    <w:rsid w:val="00DA1609"/>
    <w:rsid w:val="00DA3F9A"/>
    <w:rsid w:val="00DA5805"/>
    <w:rsid w:val="00DA67C1"/>
    <w:rsid w:val="00DB31AA"/>
    <w:rsid w:val="00DB4FBC"/>
    <w:rsid w:val="00DB5B16"/>
    <w:rsid w:val="00DC64A3"/>
    <w:rsid w:val="00DC6579"/>
    <w:rsid w:val="00DD2E9B"/>
    <w:rsid w:val="00DD4C3B"/>
    <w:rsid w:val="00DD741E"/>
    <w:rsid w:val="00DD756B"/>
    <w:rsid w:val="00DE2870"/>
    <w:rsid w:val="00DE5F60"/>
    <w:rsid w:val="00DE6D90"/>
    <w:rsid w:val="00DE7F71"/>
    <w:rsid w:val="00DF002F"/>
    <w:rsid w:val="00DF05A4"/>
    <w:rsid w:val="00DF1BFC"/>
    <w:rsid w:val="00DF6F48"/>
    <w:rsid w:val="00E01507"/>
    <w:rsid w:val="00E0244D"/>
    <w:rsid w:val="00E07269"/>
    <w:rsid w:val="00E15CF9"/>
    <w:rsid w:val="00E175FD"/>
    <w:rsid w:val="00E238D7"/>
    <w:rsid w:val="00E24640"/>
    <w:rsid w:val="00E26FB7"/>
    <w:rsid w:val="00E27876"/>
    <w:rsid w:val="00E30A97"/>
    <w:rsid w:val="00E31656"/>
    <w:rsid w:val="00E37F30"/>
    <w:rsid w:val="00E4182C"/>
    <w:rsid w:val="00E41839"/>
    <w:rsid w:val="00E44243"/>
    <w:rsid w:val="00E44BBF"/>
    <w:rsid w:val="00E47B09"/>
    <w:rsid w:val="00E53E64"/>
    <w:rsid w:val="00E56440"/>
    <w:rsid w:val="00E577CA"/>
    <w:rsid w:val="00E6597A"/>
    <w:rsid w:val="00E8087B"/>
    <w:rsid w:val="00E81E94"/>
    <w:rsid w:val="00E82607"/>
    <w:rsid w:val="00E9098D"/>
    <w:rsid w:val="00E968A2"/>
    <w:rsid w:val="00EA6141"/>
    <w:rsid w:val="00EB34E0"/>
    <w:rsid w:val="00EB4E03"/>
    <w:rsid w:val="00EC0226"/>
    <w:rsid w:val="00EC6C3E"/>
    <w:rsid w:val="00ED3258"/>
    <w:rsid w:val="00EE1A0D"/>
    <w:rsid w:val="00EE51DE"/>
    <w:rsid w:val="00EE545C"/>
    <w:rsid w:val="00EE6AD0"/>
    <w:rsid w:val="00EF1A75"/>
    <w:rsid w:val="00EF474A"/>
    <w:rsid w:val="00EF53AA"/>
    <w:rsid w:val="00F10773"/>
    <w:rsid w:val="00F1508B"/>
    <w:rsid w:val="00F20EE1"/>
    <w:rsid w:val="00F31087"/>
    <w:rsid w:val="00F330D3"/>
    <w:rsid w:val="00F35039"/>
    <w:rsid w:val="00F5054F"/>
    <w:rsid w:val="00F527F0"/>
    <w:rsid w:val="00F53F54"/>
    <w:rsid w:val="00F5452E"/>
    <w:rsid w:val="00F54540"/>
    <w:rsid w:val="00F56CC6"/>
    <w:rsid w:val="00F609A4"/>
    <w:rsid w:val="00F70757"/>
    <w:rsid w:val="00F72FA8"/>
    <w:rsid w:val="00F73B53"/>
    <w:rsid w:val="00F75116"/>
    <w:rsid w:val="00F763CD"/>
    <w:rsid w:val="00F8085E"/>
    <w:rsid w:val="00F82723"/>
    <w:rsid w:val="00F84B57"/>
    <w:rsid w:val="00F84B8E"/>
    <w:rsid w:val="00F86C46"/>
    <w:rsid w:val="00F93017"/>
    <w:rsid w:val="00F93274"/>
    <w:rsid w:val="00F95A12"/>
    <w:rsid w:val="00F966D4"/>
    <w:rsid w:val="00FA0F65"/>
    <w:rsid w:val="00FA1204"/>
    <w:rsid w:val="00FA305A"/>
    <w:rsid w:val="00FA5A79"/>
    <w:rsid w:val="00FA6CE0"/>
    <w:rsid w:val="00FA70D7"/>
    <w:rsid w:val="00FB0BFE"/>
    <w:rsid w:val="00FB1533"/>
    <w:rsid w:val="00FB4C51"/>
    <w:rsid w:val="00FB582C"/>
    <w:rsid w:val="00FC0035"/>
    <w:rsid w:val="00FC6131"/>
    <w:rsid w:val="00FC67E7"/>
    <w:rsid w:val="00FD12FA"/>
    <w:rsid w:val="00FD5BE6"/>
    <w:rsid w:val="00FD5DED"/>
    <w:rsid w:val="00FE0AD8"/>
    <w:rsid w:val="00FE2E4F"/>
    <w:rsid w:val="00FF1DBD"/>
    <w:rsid w:val="00FF445C"/>
    <w:rsid w:val="00FF47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1"/>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FootnoteTextChar">
    <w:name w:val="Footnote Text Char"/>
    <w:aliases w:val="5_G Char"/>
    <w:link w:val="FootnoteText"/>
    <w:locked/>
    <w:rsid w:val="009A09FE"/>
    <w:rPr>
      <w:sz w:val="18"/>
      <w:lang w:val="fr-CH" w:eastAsia="en-US" w:bidi="ar-SA"/>
    </w:rPr>
  </w:style>
  <w:style w:type="character" w:customStyle="1" w:styleId="H23GChar">
    <w:name w:val="_ H_2/3_G Char"/>
    <w:link w:val="H23G"/>
    <w:locked/>
    <w:rsid w:val="009A09FE"/>
    <w:rPr>
      <w:b/>
      <w:lang w:val="fr-CH" w:eastAsia="en-US" w:bidi="ar-SA"/>
    </w:rPr>
  </w:style>
  <w:style w:type="character" w:customStyle="1" w:styleId="SingleTxtGChar1">
    <w:name w:val="_ Single Txt_G Char1"/>
    <w:link w:val="SingleTxtG"/>
    <w:locked/>
    <w:rsid w:val="009A09FE"/>
    <w:rPr>
      <w:lang w:val="fr-CH" w:eastAsia="en-US" w:bidi="ar-SA"/>
    </w:rPr>
  </w:style>
  <w:style w:type="paragraph" w:styleId="BalloonText">
    <w:name w:val="Balloon Text"/>
    <w:basedOn w:val="Normal"/>
    <w:link w:val="BalloonTextChar"/>
    <w:rsid w:val="00F1508B"/>
    <w:pPr>
      <w:spacing w:line="240" w:lineRule="auto"/>
    </w:pPr>
    <w:rPr>
      <w:rFonts w:ascii="Tahoma" w:hAnsi="Tahoma"/>
      <w:sz w:val="16"/>
      <w:szCs w:val="16"/>
    </w:rPr>
  </w:style>
  <w:style w:type="character" w:customStyle="1" w:styleId="BalloonTextChar">
    <w:name w:val="Balloon Text Char"/>
    <w:link w:val="BalloonText"/>
    <w:rsid w:val="00F1508B"/>
    <w:rPr>
      <w:rFonts w:ascii="Tahoma" w:hAnsi="Tahoma" w:cs="Tahoma"/>
      <w:sz w:val="16"/>
      <w:szCs w:val="16"/>
      <w:lang w:val="fr-CH" w:eastAsia="en-US"/>
    </w:rPr>
  </w:style>
  <w:style w:type="character" w:styleId="CommentReference">
    <w:name w:val="annotation reference"/>
    <w:rsid w:val="00370473"/>
    <w:rPr>
      <w:sz w:val="16"/>
      <w:szCs w:val="16"/>
    </w:rPr>
  </w:style>
  <w:style w:type="paragraph" w:styleId="CommentText">
    <w:name w:val="annotation text"/>
    <w:basedOn w:val="Normal"/>
    <w:link w:val="CommentTextChar"/>
    <w:rsid w:val="00370473"/>
  </w:style>
  <w:style w:type="character" w:customStyle="1" w:styleId="CommentTextChar">
    <w:name w:val="Comment Text Char"/>
    <w:link w:val="CommentText"/>
    <w:rsid w:val="00370473"/>
    <w:rPr>
      <w:lang w:val="fr-CH" w:eastAsia="en-US"/>
    </w:rPr>
  </w:style>
  <w:style w:type="paragraph" w:styleId="CommentSubject">
    <w:name w:val="annotation subject"/>
    <w:basedOn w:val="CommentText"/>
    <w:next w:val="CommentText"/>
    <w:link w:val="CommentSubjectChar"/>
    <w:rsid w:val="00370473"/>
    <w:rPr>
      <w:b/>
      <w:bCs/>
    </w:rPr>
  </w:style>
  <w:style w:type="character" w:customStyle="1" w:styleId="CommentSubjectChar">
    <w:name w:val="Comment Subject Char"/>
    <w:link w:val="CommentSubject"/>
    <w:rsid w:val="00370473"/>
    <w:rPr>
      <w:b/>
      <w:bCs/>
      <w:lang w:val="fr-CH"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1</Pages>
  <Words>8360</Words>
  <Characters>41634</Characters>
  <Application>Microsoft Office Outlook</Application>
  <DocSecurity>4</DocSecurity>
  <Lines>640</Lines>
  <Paragraphs>137</Paragraphs>
  <ScaleCrop>false</ScaleCrop>
  <HeadingPairs>
    <vt:vector size="2" baseType="variant">
      <vt:variant>
        <vt:lpstr>Title</vt:lpstr>
      </vt:variant>
      <vt:variant>
        <vt:i4>1</vt:i4>
      </vt:variant>
    </vt:vector>
  </HeadingPairs>
  <TitlesOfParts>
    <vt:vector size="1" baseType="lpstr">
      <vt:lpstr>CAT/C/CAN/Q/6/R.1</vt:lpstr>
    </vt:vector>
  </TitlesOfParts>
  <Company>CSD</Company>
  <LinksUpToDate>false</LinksUpToDate>
  <CharactersWithSpaces>49857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CAT/C/CAN/Q/6/R.1</dc:title>
  <dc:subject/>
  <dc:creator>Pool</dc:creator>
  <cp:keywords/>
  <cp:lastModifiedBy>DCM</cp:lastModifiedBy>
  <cp:revision>2</cp:revision>
  <cp:lastPrinted>2011-12-29T14:01:00Z</cp:lastPrinted>
  <dcterms:created xsi:type="dcterms:W3CDTF">2011-12-29T15:11:00Z</dcterms:created>
  <dcterms:modified xsi:type="dcterms:W3CDTF">2011-12-29T15:11:00Z</dcterms:modified>
</cp:coreProperties>
</file>