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56438" w14:paraId="2F0FEE43" w14:textId="77777777" w:rsidTr="00DD1051">
        <w:trPr>
          <w:trHeight w:val="851"/>
        </w:trPr>
        <w:tc>
          <w:tcPr>
            <w:tcW w:w="1259" w:type="dxa"/>
            <w:tcBorders>
              <w:top w:val="nil"/>
              <w:left w:val="nil"/>
              <w:bottom w:val="single" w:sz="4" w:space="0" w:color="auto"/>
              <w:right w:val="nil"/>
            </w:tcBorders>
            <w:shd w:val="clear" w:color="auto" w:fill="auto"/>
          </w:tcPr>
          <w:p w14:paraId="441169B6" w14:textId="77777777" w:rsidR="00446DE4" w:rsidRPr="00F56438" w:rsidRDefault="00446DE4" w:rsidP="00DD1051"/>
        </w:tc>
        <w:tc>
          <w:tcPr>
            <w:tcW w:w="2236" w:type="dxa"/>
            <w:tcBorders>
              <w:top w:val="nil"/>
              <w:left w:val="nil"/>
              <w:bottom w:val="single" w:sz="4" w:space="0" w:color="auto"/>
              <w:right w:val="nil"/>
            </w:tcBorders>
            <w:shd w:val="clear" w:color="auto" w:fill="auto"/>
            <w:vAlign w:val="bottom"/>
          </w:tcPr>
          <w:p w14:paraId="6B113E23" w14:textId="77777777" w:rsidR="00446DE4" w:rsidRPr="00F56438" w:rsidRDefault="00BC0578" w:rsidP="00DD1051">
            <w:pPr>
              <w:spacing w:after="80" w:line="300" w:lineRule="exact"/>
              <w:rPr>
                <w:sz w:val="28"/>
                <w:szCs w:val="28"/>
              </w:rPr>
            </w:pPr>
            <w:r w:rsidRPr="00F56438">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0F89A873" w14:textId="37D05FD6" w:rsidR="00446DE4" w:rsidRPr="00F56438" w:rsidRDefault="00087903" w:rsidP="00711565">
            <w:pPr>
              <w:suppressAutoHyphens w:val="0"/>
              <w:jc w:val="right"/>
            </w:pPr>
            <w:r w:rsidRPr="00F56438">
              <w:rPr>
                <w:sz w:val="40"/>
                <w:szCs w:val="40"/>
              </w:rPr>
              <w:t>E</w:t>
            </w:r>
            <w:r w:rsidRPr="00F56438">
              <w:t>/C.12/</w:t>
            </w:r>
            <w:r w:rsidR="00EC243C" w:rsidRPr="00F56438">
              <w:t>MKD</w:t>
            </w:r>
            <w:r w:rsidRPr="00F56438">
              <w:t>/CO/</w:t>
            </w:r>
            <w:r w:rsidR="00EC243C" w:rsidRPr="00F56438">
              <w:t>2-4</w:t>
            </w:r>
          </w:p>
        </w:tc>
      </w:tr>
      <w:tr w:rsidR="003107FA" w:rsidRPr="00F56438" w14:paraId="454E3858" w14:textId="77777777" w:rsidTr="00DD1051">
        <w:trPr>
          <w:trHeight w:val="2835"/>
        </w:trPr>
        <w:tc>
          <w:tcPr>
            <w:tcW w:w="1259" w:type="dxa"/>
            <w:tcBorders>
              <w:top w:val="single" w:sz="4" w:space="0" w:color="auto"/>
              <w:left w:val="nil"/>
              <w:bottom w:val="single" w:sz="12" w:space="0" w:color="auto"/>
              <w:right w:val="nil"/>
            </w:tcBorders>
            <w:shd w:val="clear" w:color="auto" w:fill="auto"/>
          </w:tcPr>
          <w:p w14:paraId="113459CF" w14:textId="0751E2FB" w:rsidR="003107FA" w:rsidRPr="00F56438" w:rsidRDefault="0048055F" w:rsidP="00DD1051">
            <w:pPr>
              <w:spacing w:before="120"/>
            </w:pPr>
            <w:r>
              <w:rPr>
                <w:noProof/>
                <w:lang w:val="en-US" w:eastAsia="zh-CN"/>
              </w:rPr>
              <w:drawing>
                <wp:inline distT="0" distB="0" distL="0" distR="0" wp14:anchorId="69150D61" wp14:editId="5F66D6F8">
                  <wp:extent cx="715010" cy="59753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753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70B81C4F" w14:textId="77777777" w:rsidR="00733127" w:rsidRDefault="00DB0F0D" w:rsidP="0048354D">
            <w:pPr>
              <w:spacing w:before="240" w:line="260" w:lineRule="exact"/>
              <w:rPr>
                <w:b/>
                <w:sz w:val="36"/>
                <w:szCs w:val="36"/>
              </w:rPr>
            </w:pPr>
            <w:r w:rsidRPr="00F56438">
              <w:rPr>
                <w:b/>
                <w:sz w:val="36"/>
                <w:szCs w:val="36"/>
              </w:rPr>
              <w:t>Economic and Social Council</w:t>
            </w:r>
          </w:p>
          <w:p w14:paraId="20660908" w14:textId="15E1FF1E" w:rsidR="00E57B93" w:rsidRPr="00E85591" w:rsidRDefault="00E57B93" w:rsidP="0048354D">
            <w:pPr>
              <w:spacing w:before="240" w:line="260" w:lineRule="exact"/>
              <w:rPr>
                <w:b/>
                <w:sz w:val="28"/>
                <w:szCs w:val="28"/>
              </w:rPr>
            </w:pPr>
          </w:p>
        </w:tc>
        <w:tc>
          <w:tcPr>
            <w:tcW w:w="2930" w:type="dxa"/>
            <w:tcBorders>
              <w:top w:val="single" w:sz="4" w:space="0" w:color="auto"/>
              <w:left w:val="nil"/>
              <w:bottom w:val="single" w:sz="12" w:space="0" w:color="auto"/>
              <w:right w:val="nil"/>
            </w:tcBorders>
            <w:shd w:val="clear" w:color="auto" w:fill="auto"/>
          </w:tcPr>
          <w:p w14:paraId="05753F8B" w14:textId="1A04CFC2" w:rsidR="009702DE" w:rsidRPr="00F56438" w:rsidRDefault="00087903" w:rsidP="00087903">
            <w:pPr>
              <w:suppressAutoHyphens w:val="0"/>
              <w:spacing w:before="240" w:line="240" w:lineRule="exact"/>
            </w:pPr>
            <w:r w:rsidRPr="00F56438">
              <w:t xml:space="preserve">Distr.: </w:t>
            </w:r>
            <w:r w:rsidR="00711565">
              <w:t>General</w:t>
            </w:r>
          </w:p>
          <w:p w14:paraId="7E135D7B" w14:textId="3009A01F" w:rsidR="00087903" w:rsidRPr="00F56438" w:rsidRDefault="00F53310" w:rsidP="00087903">
            <w:pPr>
              <w:suppressAutoHyphens w:val="0"/>
              <w:spacing w:line="240" w:lineRule="exact"/>
            </w:pPr>
            <w:r>
              <w:t>1</w:t>
            </w:r>
            <w:r w:rsidR="002533E6">
              <w:t>5</w:t>
            </w:r>
            <w:r>
              <w:t xml:space="preserve"> July </w:t>
            </w:r>
            <w:r w:rsidR="00087903" w:rsidRPr="00F56438">
              <w:t>2016</w:t>
            </w:r>
          </w:p>
          <w:p w14:paraId="47F63B68" w14:textId="77777777" w:rsidR="00087903" w:rsidRPr="00F56438" w:rsidRDefault="00087903" w:rsidP="00087903">
            <w:pPr>
              <w:suppressAutoHyphens w:val="0"/>
              <w:spacing w:line="240" w:lineRule="exact"/>
            </w:pPr>
          </w:p>
          <w:p w14:paraId="4C51EB35" w14:textId="77777777" w:rsidR="00087903" w:rsidRPr="00F56438" w:rsidRDefault="00087903" w:rsidP="00087903">
            <w:pPr>
              <w:suppressAutoHyphens w:val="0"/>
              <w:spacing w:line="240" w:lineRule="exact"/>
            </w:pPr>
            <w:r w:rsidRPr="00F56438">
              <w:t>Original: English</w:t>
            </w:r>
          </w:p>
          <w:p w14:paraId="7DB935B4" w14:textId="0A46A30A" w:rsidR="00087903" w:rsidRPr="00F56438" w:rsidRDefault="00087903" w:rsidP="00087903">
            <w:pPr>
              <w:suppressAutoHyphens w:val="0"/>
              <w:spacing w:line="240" w:lineRule="exact"/>
            </w:pPr>
          </w:p>
        </w:tc>
      </w:tr>
    </w:tbl>
    <w:p w14:paraId="64D46ED8" w14:textId="77777777" w:rsidR="00E62C9D" w:rsidRPr="007949E7" w:rsidRDefault="00DB0F0D" w:rsidP="00DB0F0D">
      <w:pPr>
        <w:spacing w:before="120"/>
      </w:pPr>
      <w:r w:rsidRPr="007949E7">
        <w:rPr>
          <w:b/>
          <w:sz w:val="24"/>
          <w:szCs w:val="24"/>
        </w:rPr>
        <w:t>Committee on Economic, Social and Cultural Rights</w:t>
      </w:r>
    </w:p>
    <w:p w14:paraId="6D01FF5C" w14:textId="2AA96CA6" w:rsidR="00747D37" w:rsidRPr="007949E7" w:rsidRDefault="001F3FDF" w:rsidP="0018694B">
      <w:pPr>
        <w:pStyle w:val="HChG"/>
      </w:pPr>
      <w:r w:rsidRPr="007949E7">
        <w:tab/>
      </w:r>
      <w:r w:rsidR="00A609FF" w:rsidRPr="007949E7">
        <w:tab/>
      </w:r>
      <w:r w:rsidR="00087903">
        <w:t>Concluding observations on the</w:t>
      </w:r>
      <w:r w:rsidR="00F769E8">
        <w:t xml:space="preserve"> combined second </w:t>
      </w:r>
      <w:r w:rsidR="001B5FD7">
        <w:br/>
      </w:r>
      <w:r w:rsidR="00F769E8">
        <w:t>to fourth</w:t>
      </w:r>
      <w:r w:rsidR="00087903">
        <w:t xml:space="preserve"> periodic report</w:t>
      </w:r>
      <w:r w:rsidR="00F769E8">
        <w:t>s</w:t>
      </w:r>
      <w:r w:rsidR="00087903">
        <w:t xml:space="preserve"> of</w:t>
      </w:r>
      <w:r w:rsidR="00F769E8">
        <w:t xml:space="preserve"> the former </w:t>
      </w:r>
      <w:r w:rsidR="001B5FD7">
        <w:br/>
      </w:r>
      <w:r w:rsidR="00F769E8">
        <w:t>Yugoslav Republic of Macedonia</w:t>
      </w:r>
      <w:r w:rsidR="0018694B" w:rsidRPr="0048354D">
        <w:rPr>
          <w:b w:val="0"/>
          <w:bCs/>
          <w:sz w:val="20"/>
        </w:rPr>
        <w:footnoteReference w:customMarkFollows="1" w:id="2"/>
        <w:t>*</w:t>
      </w:r>
    </w:p>
    <w:p w14:paraId="3CB29D15" w14:textId="42E4F2F9" w:rsidR="00BD5687" w:rsidRPr="00942AF7" w:rsidRDefault="00306951" w:rsidP="00306951">
      <w:pPr>
        <w:pStyle w:val="SingleTxtG"/>
        <w:tabs>
          <w:tab w:val="left" w:pos="1701"/>
        </w:tabs>
      </w:pPr>
      <w:bookmarkStart w:id="0" w:name="_GoBack"/>
      <w:proofErr w:type="gramStart"/>
      <w:r w:rsidRPr="00942AF7">
        <w:t>1</w:t>
      </w:r>
      <w:bookmarkEnd w:id="0"/>
      <w:r w:rsidRPr="00942AF7">
        <w:t>.</w:t>
      </w:r>
      <w:r w:rsidRPr="00942AF7">
        <w:tab/>
      </w:r>
      <w:r w:rsidR="00BD5687" w:rsidRPr="00942AF7">
        <w:t xml:space="preserve">The Committee on Economic, Social and Cultural Rights considered </w:t>
      </w:r>
      <w:r w:rsidR="00087903">
        <w:t xml:space="preserve">the </w:t>
      </w:r>
      <w:r w:rsidR="00F769E8">
        <w:t xml:space="preserve">combined second to fourth </w:t>
      </w:r>
      <w:r w:rsidR="00087903">
        <w:t>periodic report</w:t>
      </w:r>
      <w:r w:rsidR="00F769E8">
        <w:t>s</w:t>
      </w:r>
      <w:r w:rsidR="00087903">
        <w:t xml:space="preserve"> of</w:t>
      </w:r>
      <w:r w:rsidR="00F769E8">
        <w:t xml:space="preserve"> the former Yugoslav Republic of Macedonia</w:t>
      </w:r>
      <w:r w:rsidR="00087903">
        <w:rPr>
          <w:color w:val="FF0000"/>
        </w:rPr>
        <w:t xml:space="preserve"> </w:t>
      </w:r>
      <w:r w:rsidR="00BD5687" w:rsidRPr="00942AF7">
        <w:t xml:space="preserve">on the implementation of the International Covenant on Economic, Social and Cultural Rights </w:t>
      </w:r>
      <w:r w:rsidR="00BD5687" w:rsidRPr="003860B8">
        <w:t>(E/C.12/</w:t>
      </w:r>
      <w:r w:rsidR="00F769E8" w:rsidRPr="003860B8">
        <w:t>MKD</w:t>
      </w:r>
      <w:r w:rsidR="00BD5687" w:rsidRPr="003860B8">
        <w:t>/</w:t>
      </w:r>
      <w:r w:rsidR="00F769E8" w:rsidRPr="003860B8">
        <w:t>2-4</w:t>
      </w:r>
      <w:r w:rsidR="00BD5687" w:rsidRPr="003860B8">
        <w:t xml:space="preserve">) at its </w:t>
      </w:r>
      <w:r w:rsidR="003860B8" w:rsidRPr="003860B8">
        <w:t>32</w:t>
      </w:r>
      <w:r w:rsidR="003860B8" w:rsidRPr="005D32EA">
        <w:t>nd</w:t>
      </w:r>
      <w:r w:rsidR="00CC68C8">
        <w:t xml:space="preserve"> </w:t>
      </w:r>
      <w:r w:rsidR="00BD5687" w:rsidRPr="003860B8">
        <w:t xml:space="preserve">and </w:t>
      </w:r>
      <w:r w:rsidR="00CC68C8" w:rsidRPr="003860B8">
        <w:t>33</w:t>
      </w:r>
      <w:r w:rsidR="00CC68C8" w:rsidRPr="005D32EA">
        <w:t>rd</w:t>
      </w:r>
      <w:r w:rsidR="00CC68C8">
        <w:t xml:space="preserve"> </w:t>
      </w:r>
      <w:r w:rsidR="00BD5687" w:rsidRPr="003860B8">
        <w:t>meetings (</w:t>
      </w:r>
      <w:r w:rsidR="008A5D92">
        <w:t xml:space="preserve">see </w:t>
      </w:r>
      <w:r w:rsidR="00BD5687" w:rsidRPr="003860B8">
        <w:t>E/C.12/2016/SR.</w:t>
      </w:r>
      <w:r w:rsidR="003860B8" w:rsidRPr="003860B8">
        <w:t xml:space="preserve">32 </w:t>
      </w:r>
      <w:r w:rsidR="00E57B93">
        <w:t>and</w:t>
      </w:r>
      <w:r w:rsidR="003860B8" w:rsidRPr="003860B8">
        <w:t xml:space="preserve"> 33</w:t>
      </w:r>
      <w:r w:rsidR="00BD5687" w:rsidRPr="003860B8">
        <w:t>)</w:t>
      </w:r>
      <w:r w:rsidR="00E57B93">
        <w:t>,</w:t>
      </w:r>
      <w:r w:rsidR="00BD5687" w:rsidRPr="003860B8">
        <w:t xml:space="preserve"> held on </w:t>
      </w:r>
      <w:r w:rsidR="00F769E8" w:rsidRPr="003860B8">
        <w:t>13</w:t>
      </w:r>
      <w:r w:rsidR="00BD5687" w:rsidRPr="00942AF7">
        <w:t xml:space="preserve"> and </w:t>
      </w:r>
      <w:r w:rsidR="00F769E8">
        <w:t>14</w:t>
      </w:r>
      <w:r w:rsidR="00BD5687" w:rsidRPr="00942AF7">
        <w:t xml:space="preserve"> June 2016</w:t>
      </w:r>
      <w:r w:rsidR="007B4602">
        <w:t>.</w:t>
      </w:r>
      <w:proofErr w:type="gramEnd"/>
      <w:r w:rsidR="007B4602">
        <w:t xml:space="preserve"> It</w:t>
      </w:r>
      <w:r w:rsidR="00BD5687" w:rsidRPr="00942AF7">
        <w:t xml:space="preserve"> adopted the following concluding observations at its </w:t>
      </w:r>
      <w:r w:rsidR="00513180">
        <w:t>49</w:t>
      </w:r>
      <w:r w:rsidR="00BD5687" w:rsidRPr="005D32EA">
        <w:t>th</w:t>
      </w:r>
      <w:r w:rsidR="00CC68C8">
        <w:t xml:space="preserve"> </w:t>
      </w:r>
      <w:r w:rsidR="00BD5687" w:rsidRPr="00942AF7">
        <w:t>meeting,</w:t>
      </w:r>
      <w:r w:rsidR="00854C25">
        <w:t xml:space="preserve"> </w:t>
      </w:r>
      <w:r w:rsidR="00BD5687" w:rsidRPr="00942AF7">
        <w:t>held on 24 June 2016.</w:t>
      </w:r>
    </w:p>
    <w:p w14:paraId="2B41004E" w14:textId="77777777" w:rsidR="00C82F62" w:rsidRPr="007949E7" w:rsidRDefault="00C82F62" w:rsidP="00C82F62">
      <w:pPr>
        <w:pStyle w:val="H1G"/>
      </w:pPr>
      <w:r w:rsidRPr="007949E7">
        <w:tab/>
        <w:t>A.</w:t>
      </w:r>
      <w:r w:rsidRPr="007949E7">
        <w:tab/>
        <w:t>Introduction</w:t>
      </w:r>
    </w:p>
    <w:p w14:paraId="77B56ED3" w14:textId="644A1079" w:rsidR="0039527A" w:rsidRPr="007949E7" w:rsidRDefault="00306951" w:rsidP="00306951">
      <w:pPr>
        <w:pStyle w:val="SingleTxtG"/>
        <w:tabs>
          <w:tab w:val="left" w:pos="1701"/>
        </w:tabs>
      </w:pPr>
      <w:r w:rsidRPr="007949E7">
        <w:t>2.</w:t>
      </w:r>
      <w:r w:rsidRPr="007949E7">
        <w:tab/>
      </w:r>
      <w:r w:rsidR="00096EB9" w:rsidRPr="00096EB9">
        <w:t xml:space="preserve">The Committee welcomes the combined second to </w:t>
      </w:r>
      <w:r w:rsidR="00096EB9">
        <w:t>four</w:t>
      </w:r>
      <w:r w:rsidR="00096EB9" w:rsidRPr="00096EB9">
        <w:t>th periodic reports submitted by the State party, despite the long delay in submission, and the supplementary information provided in the replies to the list of issues (E/C.12/</w:t>
      </w:r>
      <w:r w:rsidR="00096EB9">
        <w:t>MKD</w:t>
      </w:r>
      <w:r w:rsidR="00096EB9" w:rsidRPr="00096EB9">
        <w:t>/Q/2-</w:t>
      </w:r>
      <w:r w:rsidR="00096EB9">
        <w:t>4</w:t>
      </w:r>
      <w:r w:rsidR="00096EB9" w:rsidRPr="00096EB9">
        <w:t>/Add.1). The Committee also appreciates the constructive dialogue held with the State party’s interministerial delegation.</w:t>
      </w:r>
    </w:p>
    <w:p w14:paraId="0669813A" w14:textId="77777777" w:rsidR="00E04FFD" w:rsidRDefault="00C82F62" w:rsidP="00C82F62">
      <w:pPr>
        <w:pStyle w:val="H1G"/>
      </w:pPr>
      <w:r w:rsidRPr="007949E7">
        <w:tab/>
        <w:t>B.</w:t>
      </w:r>
      <w:r w:rsidRPr="007949E7">
        <w:tab/>
        <w:t>Positive aspects</w:t>
      </w:r>
    </w:p>
    <w:p w14:paraId="188F4931" w14:textId="2A259264" w:rsidR="00096EB9" w:rsidRPr="00696C59" w:rsidRDefault="00306951" w:rsidP="00306951">
      <w:pPr>
        <w:pStyle w:val="SingleTxtG"/>
        <w:tabs>
          <w:tab w:val="left" w:pos="1701"/>
        </w:tabs>
      </w:pPr>
      <w:r w:rsidRPr="00696C59">
        <w:t>3.</w:t>
      </w:r>
      <w:r w:rsidRPr="00696C59">
        <w:tab/>
      </w:r>
      <w:r w:rsidR="00096EB9" w:rsidRPr="007C209B">
        <w:rPr>
          <w:szCs w:val="28"/>
        </w:rPr>
        <w:t xml:space="preserve">The Committee welcomes the </w:t>
      </w:r>
      <w:r w:rsidR="00696C59">
        <w:rPr>
          <w:szCs w:val="28"/>
        </w:rPr>
        <w:t xml:space="preserve">ratification </w:t>
      </w:r>
      <w:r w:rsidR="00425713">
        <w:rPr>
          <w:szCs w:val="28"/>
        </w:rPr>
        <w:t xml:space="preserve">by the State party </w:t>
      </w:r>
      <w:r w:rsidR="00696C59">
        <w:rPr>
          <w:szCs w:val="28"/>
        </w:rPr>
        <w:t>of</w:t>
      </w:r>
      <w:r w:rsidR="00E57B93">
        <w:rPr>
          <w:szCs w:val="28"/>
        </w:rPr>
        <w:t xml:space="preserve"> the following</w:t>
      </w:r>
      <w:r w:rsidR="00696C59">
        <w:rPr>
          <w:szCs w:val="28"/>
        </w:rPr>
        <w:t>:</w:t>
      </w:r>
    </w:p>
    <w:p w14:paraId="4BF79C57" w14:textId="6DA7801F" w:rsidR="00292A55" w:rsidRPr="00592609" w:rsidRDefault="00306951" w:rsidP="00306951">
      <w:pPr>
        <w:pStyle w:val="SingleTxtG"/>
        <w:ind w:firstLine="567"/>
        <w:rPr>
          <w:rFonts w:eastAsia="Times New Roman"/>
          <w:lang w:val="en-US"/>
        </w:rPr>
      </w:pPr>
      <w:r w:rsidRPr="00592609">
        <w:rPr>
          <w:rFonts w:eastAsia="Times New Roman"/>
          <w:lang w:val="en-US"/>
        </w:rPr>
        <w:t>(a)</w:t>
      </w:r>
      <w:r w:rsidRPr="00592609">
        <w:rPr>
          <w:rFonts w:eastAsia="Times New Roman"/>
          <w:lang w:val="en-US"/>
        </w:rPr>
        <w:tab/>
      </w:r>
      <w:r w:rsidR="00292A55" w:rsidRPr="00592609">
        <w:rPr>
          <w:rFonts w:eastAsia="Times New Roman"/>
          <w:lang w:val="en-US"/>
        </w:rPr>
        <w:t xml:space="preserve">Optional Protocol to the Convention on the Rights of the Child on a communications procedure, in 2012; </w:t>
      </w:r>
    </w:p>
    <w:p w14:paraId="753590A4" w14:textId="48241B02" w:rsidR="00696C59" w:rsidRPr="00592609" w:rsidRDefault="00306951" w:rsidP="00306951">
      <w:pPr>
        <w:pStyle w:val="SingleTxtG"/>
        <w:ind w:firstLine="567"/>
        <w:rPr>
          <w:rFonts w:eastAsia="Times New Roman"/>
        </w:rPr>
      </w:pPr>
      <w:r w:rsidRPr="00592609">
        <w:rPr>
          <w:rFonts w:eastAsia="Times New Roman"/>
        </w:rPr>
        <w:t>(b)</w:t>
      </w:r>
      <w:r w:rsidRPr="00592609">
        <w:rPr>
          <w:rFonts w:eastAsia="Times New Roman"/>
        </w:rPr>
        <w:tab/>
      </w:r>
      <w:r w:rsidR="00696C59" w:rsidRPr="00592609">
        <w:rPr>
          <w:rFonts w:eastAsia="Times New Roman"/>
        </w:rPr>
        <w:t>Convention on the Rights of Persons with Disabilities</w:t>
      </w:r>
      <w:r w:rsidR="00723EA9">
        <w:rPr>
          <w:rFonts w:eastAsia="Times New Roman"/>
        </w:rPr>
        <w:t xml:space="preserve"> and its Optional Protocol</w:t>
      </w:r>
      <w:r w:rsidR="00060BAD">
        <w:rPr>
          <w:rFonts w:eastAsia="Times New Roman"/>
        </w:rPr>
        <w:t>,</w:t>
      </w:r>
      <w:r w:rsidR="00723EA9">
        <w:rPr>
          <w:rFonts w:eastAsia="Times New Roman"/>
        </w:rPr>
        <w:t xml:space="preserve"> </w:t>
      </w:r>
      <w:r w:rsidR="00696C59" w:rsidRPr="00592609">
        <w:rPr>
          <w:rFonts w:eastAsia="Times New Roman"/>
        </w:rPr>
        <w:t xml:space="preserve">in 2011; </w:t>
      </w:r>
    </w:p>
    <w:p w14:paraId="0C3DF5C9" w14:textId="704CB7E6" w:rsidR="00292A55" w:rsidRPr="00592609" w:rsidRDefault="00306951" w:rsidP="00306951">
      <w:pPr>
        <w:pStyle w:val="SingleTxtG"/>
        <w:ind w:firstLine="567"/>
        <w:rPr>
          <w:rFonts w:eastAsia="Times New Roman"/>
        </w:rPr>
      </w:pPr>
      <w:proofErr w:type="gramStart"/>
      <w:r w:rsidRPr="00592609">
        <w:rPr>
          <w:rFonts w:eastAsia="Times New Roman"/>
        </w:rPr>
        <w:t>(c)</w:t>
      </w:r>
      <w:r w:rsidRPr="00592609">
        <w:rPr>
          <w:rFonts w:eastAsia="Times New Roman"/>
        </w:rPr>
        <w:tab/>
      </w:r>
      <w:r w:rsidR="00696C59" w:rsidRPr="00592609">
        <w:rPr>
          <w:rFonts w:eastAsia="Times New Roman"/>
        </w:rPr>
        <w:t xml:space="preserve">Optional Protocol </w:t>
      </w:r>
      <w:r w:rsidR="00723EA9">
        <w:rPr>
          <w:rFonts w:eastAsia="Times New Roman"/>
        </w:rPr>
        <w:t>to</w:t>
      </w:r>
      <w:r w:rsidR="00696C59" w:rsidRPr="00592609">
        <w:rPr>
          <w:rFonts w:eastAsia="Times New Roman"/>
        </w:rPr>
        <w:t xml:space="preserve"> the Convention against Torture</w:t>
      </w:r>
      <w:r w:rsidR="00060BAD" w:rsidRPr="00060BAD">
        <w:t xml:space="preserve"> </w:t>
      </w:r>
      <w:r w:rsidR="00060BAD" w:rsidRPr="00060BAD">
        <w:rPr>
          <w:rFonts w:eastAsia="Times New Roman"/>
        </w:rPr>
        <w:t xml:space="preserve">and </w:t>
      </w:r>
      <w:r w:rsidR="00E57B93">
        <w:rPr>
          <w:rFonts w:eastAsia="Times New Roman"/>
        </w:rPr>
        <w:t>O</w:t>
      </w:r>
      <w:r w:rsidR="00060BAD" w:rsidRPr="00060BAD">
        <w:rPr>
          <w:rFonts w:eastAsia="Times New Roman"/>
        </w:rPr>
        <w:t>ther Cruel, Inhuman or Degrading Treatment or Punishment</w:t>
      </w:r>
      <w:r w:rsidR="00060BAD">
        <w:rPr>
          <w:rFonts w:eastAsia="Times New Roman"/>
        </w:rPr>
        <w:t>,</w:t>
      </w:r>
      <w:r w:rsidR="00696C59" w:rsidRPr="00592609">
        <w:rPr>
          <w:rFonts w:eastAsia="Times New Roman"/>
        </w:rPr>
        <w:t xml:space="preserve"> in 2009</w:t>
      </w:r>
      <w:r w:rsidR="00292A55" w:rsidRPr="00592609">
        <w:rPr>
          <w:rFonts w:eastAsia="Times New Roman"/>
        </w:rPr>
        <w:t>.</w:t>
      </w:r>
      <w:proofErr w:type="gramEnd"/>
    </w:p>
    <w:p w14:paraId="400ADBD0" w14:textId="4A37E472" w:rsidR="00096EB9" w:rsidRPr="00096EB9" w:rsidRDefault="00306951" w:rsidP="00306951">
      <w:pPr>
        <w:pStyle w:val="SingleTxtG"/>
        <w:tabs>
          <w:tab w:val="left" w:pos="1701"/>
        </w:tabs>
      </w:pPr>
      <w:r w:rsidRPr="00096EB9">
        <w:t>4.</w:t>
      </w:r>
      <w:r w:rsidRPr="00096EB9">
        <w:tab/>
      </w:r>
      <w:r w:rsidR="00096EB9" w:rsidRPr="007C209B">
        <w:rPr>
          <w:szCs w:val="28"/>
        </w:rPr>
        <w:t xml:space="preserve">The Committee also welcomes the adoption by the State party </w:t>
      </w:r>
      <w:r w:rsidR="00096EB9" w:rsidRPr="006D6E8D">
        <w:rPr>
          <w:szCs w:val="28"/>
        </w:rPr>
        <w:t>of</w:t>
      </w:r>
      <w:r w:rsidR="00E57B93">
        <w:rPr>
          <w:szCs w:val="28"/>
        </w:rPr>
        <w:t xml:space="preserve"> the following legislation</w:t>
      </w:r>
      <w:r w:rsidR="00F55F51">
        <w:rPr>
          <w:szCs w:val="28"/>
        </w:rPr>
        <w:t>:</w:t>
      </w:r>
    </w:p>
    <w:p w14:paraId="7B9F9273" w14:textId="0C306015" w:rsidR="00292A55" w:rsidRDefault="00306951" w:rsidP="00306951">
      <w:pPr>
        <w:pStyle w:val="SingleTxtG"/>
        <w:ind w:firstLine="567"/>
        <w:rPr>
          <w:rFonts w:eastAsia="Times New Roman"/>
        </w:rPr>
      </w:pPr>
      <w:r>
        <w:rPr>
          <w:rFonts w:eastAsia="Times New Roman"/>
        </w:rPr>
        <w:t>(a)</w:t>
      </w:r>
      <w:r>
        <w:rPr>
          <w:rFonts w:eastAsia="Times New Roman"/>
        </w:rPr>
        <w:tab/>
      </w:r>
      <w:r w:rsidR="00292A55" w:rsidRPr="00592609">
        <w:rPr>
          <w:rFonts w:eastAsia="Times New Roman"/>
        </w:rPr>
        <w:t xml:space="preserve">Law on Prevention of and Protection against Domestic Violence </w:t>
      </w:r>
      <w:r w:rsidR="008E6417">
        <w:rPr>
          <w:rFonts w:eastAsia="Times New Roman"/>
        </w:rPr>
        <w:t xml:space="preserve">of </w:t>
      </w:r>
      <w:r w:rsidR="00292A55" w:rsidRPr="00592609">
        <w:rPr>
          <w:rFonts w:eastAsia="Times New Roman"/>
        </w:rPr>
        <w:t>2014;</w:t>
      </w:r>
    </w:p>
    <w:p w14:paraId="79DC1099" w14:textId="31ECDD9B" w:rsidR="00FC103E" w:rsidRPr="00592609" w:rsidRDefault="00306951" w:rsidP="00306951">
      <w:pPr>
        <w:pStyle w:val="SingleTxtG"/>
        <w:ind w:firstLine="567"/>
        <w:rPr>
          <w:rFonts w:eastAsia="Times New Roman"/>
        </w:rPr>
      </w:pPr>
      <w:r w:rsidRPr="00592609">
        <w:rPr>
          <w:rFonts w:eastAsia="Times New Roman"/>
        </w:rPr>
        <w:lastRenderedPageBreak/>
        <w:t>(b)</w:t>
      </w:r>
      <w:r w:rsidRPr="00592609">
        <w:rPr>
          <w:rFonts w:eastAsia="Times New Roman"/>
        </w:rPr>
        <w:tab/>
      </w:r>
      <w:r w:rsidR="00FC103E">
        <w:t>National Strategy for Gender Equality 2013-2020</w:t>
      </w:r>
      <w:r w:rsidR="00CE0C74">
        <w:t>;</w:t>
      </w:r>
      <w:r w:rsidR="008E6417">
        <w:t xml:space="preserve"> </w:t>
      </w:r>
    </w:p>
    <w:p w14:paraId="5CB9399D" w14:textId="66FE3F79" w:rsidR="000F3156" w:rsidRDefault="00306951" w:rsidP="00306951">
      <w:pPr>
        <w:pStyle w:val="SingleTxtG"/>
        <w:ind w:firstLine="567"/>
        <w:rPr>
          <w:rFonts w:eastAsia="Times New Roman"/>
        </w:rPr>
      </w:pPr>
      <w:r>
        <w:rPr>
          <w:rFonts w:eastAsia="Times New Roman"/>
        </w:rPr>
        <w:t>(c)</w:t>
      </w:r>
      <w:r>
        <w:rPr>
          <w:rFonts w:eastAsia="Times New Roman"/>
        </w:rPr>
        <w:tab/>
      </w:r>
      <w:r w:rsidR="000F3156">
        <w:rPr>
          <w:rFonts w:eastAsia="Times New Roman"/>
        </w:rPr>
        <w:t xml:space="preserve">Law on </w:t>
      </w:r>
      <w:r w:rsidR="00E57B93">
        <w:rPr>
          <w:rFonts w:eastAsia="Times New Roman"/>
        </w:rPr>
        <w:t xml:space="preserve">the </w:t>
      </w:r>
      <w:r w:rsidR="000F3156">
        <w:rPr>
          <w:rFonts w:eastAsia="Times New Roman"/>
        </w:rPr>
        <w:t xml:space="preserve">Minimum Wage </w:t>
      </w:r>
      <w:r w:rsidR="008E6417">
        <w:rPr>
          <w:rFonts w:eastAsia="Times New Roman"/>
        </w:rPr>
        <w:t xml:space="preserve">of </w:t>
      </w:r>
      <w:r w:rsidR="000F3156">
        <w:rPr>
          <w:rFonts w:eastAsia="Times New Roman"/>
        </w:rPr>
        <w:t>2012;</w:t>
      </w:r>
    </w:p>
    <w:p w14:paraId="33C24874" w14:textId="26BEF102" w:rsidR="00292A55" w:rsidRPr="00592609" w:rsidRDefault="00306951" w:rsidP="00306951">
      <w:pPr>
        <w:pStyle w:val="SingleTxtG"/>
        <w:ind w:firstLine="567"/>
        <w:rPr>
          <w:rFonts w:eastAsia="Times New Roman"/>
        </w:rPr>
      </w:pPr>
      <w:r w:rsidRPr="00592609">
        <w:rPr>
          <w:rFonts w:eastAsia="Times New Roman"/>
        </w:rPr>
        <w:t>(d)</w:t>
      </w:r>
      <w:r w:rsidRPr="00592609">
        <w:rPr>
          <w:rFonts w:eastAsia="Times New Roman"/>
        </w:rPr>
        <w:tab/>
      </w:r>
      <w:r w:rsidR="00292A55" w:rsidRPr="00592609">
        <w:rPr>
          <w:rFonts w:eastAsia="Times New Roman"/>
        </w:rPr>
        <w:t xml:space="preserve">Law on Equal Opportunities for Women and Men </w:t>
      </w:r>
      <w:r w:rsidR="008E6417">
        <w:rPr>
          <w:rFonts w:eastAsia="Times New Roman"/>
        </w:rPr>
        <w:t xml:space="preserve">of </w:t>
      </w:r>
      <w:r w:rsidR="00292A55" w:rsidRPr="00592609">
        <w:rPr>
          <w:rFonts w:eastAsia="Times New Roman"/>
        </w:rPr>
        <w:t xml:space="preserve">2012; </w:t>
      </w:r>
    </w:p>
    <w:p w14:paraId="3F625B97" w14:textId="65D13331" w:rsidR="00292A55" w:rsidRPr="00592609" w:rsidRDefault="00306951" w:rsidP="00306951">
      <w:pPr>
        <w:pStyle w:val="SingleTxtG"/>
        <w:ind w:firstLine="567"/>
        <w:rPr>
          <w:rFonts w:eastAsia="Times New Roman"/>
        </w:rPr>
      </w:pPr>
      <w:r w:rsidRPr="00592609">
        <w:rPr>
          <w:rFonts w:eastAsia="Times New Roman"/>
        </w:rPr>
        <w:t>(e)</w:t>
      </w:r>
      <w:r w:rsidRPr="00592609">
        <w:rPr>
          <w:rFonts w:eastAsia="Times New Roman"/>
        </w:rPr>
        <w:tab/>
      </w:r>
      <w:r w:rsidR="00B61D25" w:rsidRPr="00592609">
        <w:rPr>
          <w:rFonts w:eastAsia="Times New Roman"/>
        </w:rPr>
        <w:t>Law on Prevention of and Protection</w:t>
      </w:r>
      <w:r w:rsidR="00B61D25">
        <w:rPr>
          <w:rFonts w:eastAsia="Times New Roman"/>
        </w:rPr>
        <w:t xml:space="preserve"> against Discrimination of 2010;</w:t>
      </w:r>
      <w:r w:rsidR="007D1D4B">
        <w:rPr>
          <w:rFonts w:eastAsia="Times New Roman"/>
        </w:rPr>
        <w:t xml:space="preserve"> </w:t>
      </w:r>
    </w:p>
    <w:p w14:paraId="3B607457" w14:textId="76DBF3E1" w:rsidR="00292A55" w:rsidRDefault="00306951" w:rsidP="00306951">
      <w:pPr>
        <w:pStyle w:val="SingleTxtG"/>
        <w:ind w:firstLine="567"/>
        <w:rPr>
          <w:rFonts w:eastAsia="Times New Roman"/>
        </w:rPr>
      </w:pPr>
      <w:r>
        <w:rPr>
          <w:rFonts w:eastAsia="Times New Roman"/>
        </w:rPr>
        <w:t>(f)</w:t>
      </w:r>
      <w:r w:rsidR="001B5FD7">
        <w:rPr>
          <w:rFonts w:eastAsia="Times New Roman"/>
        </w:rPr>
        <w:tab/>
      </w:r>
      <w:r w:rsidR="00B61D25" w:rsidRPr="00592609">
        <w:rPr>
          <w:rFonts w:eastAsia="Times New Roman"/>
        </w:rPr>
        <w:t>Law on Free Legal Aid</w:t>
      </w:r>
      <w:r w:rsidR="00B61D25">
        <w:rPr>
          <w:rFonts w:eastAsia="Times New Roman"/>
        </w:rPr>
        <w:t xml:space="preserve"> of </w:t>
      </w:r>
      <w:r w:rsidR="00B61D25" w:rsidRPr="00592609">
        <w:rPr>
          <w:rFonts w:eastAsia="Times New Roman"/>
        </w:rPr>
        <w:t>20</w:t>
      </w:r>
      <w:r w:rsidR="00B61D25">
        <w:rPr>
          <w:rFonts w:eastAsia="Times New Roman"/>
        </w:rPr>
        <w:t>09;</w:t>
      </w:r>
    </w:p>
    <w:p w14:paraId="2CE1D116" w14:textId="7A07CA3C" w:rsidR="002C08F2" w:rsidRDefault="00306951" w:rsidP="00306951">
      <w:pPr>
        <w:pStyle w:val="SingleTxtG"/>
        <w:ind w:firstLine="567"/>
        <w:rPr>
          <w:rFonts w:eastAsia="Times New Roman"/>
        </w:rPr>
      </w:pPr>
      <w:r>
        <w:rPr>
          <w:rFonts w:eastAsia="Times New Roman"/>
        </w:rPr>
        <w:t>(g)</w:t>
      </w:r>
      <w:r>
        <w:rPr>
          <w:rFonts w:eastAsia="Times New Roman"/>
        </w:rPr>
        <w:tab/>
      </w:r>
      <w:r w:rsidR="000F3156">
        <w:rPr>
          <w:rFonts w:eastAsia="Times New Roman"/>
        </w:rPr>
        <w:t xml:space="preserve">Law on Social Protection </w:t>
      </w:r>
      <w:r w:rsidR="008E6417">
        <w:rPr>
          <w:rFonts w:eastAsia="Times New Roman"/>
        </w:rPr>
        <w:t>of 2009</w:t>
      </w:r>
      <w:r w:rsidR="00AA5D0F">
        <w:rPr>
          <w:rFonts w:eastAsia="Times New Roman"/>
        </w:rPr>
        <w:t xml:space="preserve">; </w:t>
      </w:r>
    </w:p>
    <w:p w14:paraId="5D9D7D07" w14:textId="6F27E636" w:rsidR="000F3156" w:rsidRDefault="00306951" w:rsidP="00306951">
      <w:pPr>
        <w:pStyle w:val="SingleTxtG"/>
        <w:ind w:firstLine="567"/>
        <w:rPr>
          <w:rFonts w:eastAsia="Times New Roman"/>
        </w:rPr>
      </w:pPr>
      <w:proofErr w:type="gramStart"/>
      <w:r>
        <w:rPr>
          <w:rFonts w:eastAsia="Times New Roman"/>
        </w:rPr>
        <w:t>(h)</w:t>
      </w:r>
      <w:r>
        <w:rPr>
          <w:rFonts w:eastAsia="Times New Roman"/>
        </w:rPr>
        <w:tab/>
      </w:r>
      <w:r w:rsidR="002C08F2">
        <w:rPr>
          <w:rFonts w:eastAsia="Times New Roman"/>
        </w:rPr>
        <w:t>National Strategy for the Reduction of Poverty and Social Exclusion 2010</w:t>
      </w:r>
      <w:r w:rsidR="001B5FD7">
        <w:rPr>
          <w:rFonts w:eastAsia="Times New Roman"/>
        </w:rPr>
        <w:t>­</w:t>
      </w:r>
      <w:r w:rsidR="002C08F2">
        <w:rPr>
          <w:rFonts w:eastAsia="Times New Roman"/>
        </w:rPr>
        <w:t>2020</w:t>
      </w:r>
      <w:r w:rsidR="006E4E86">
        <w:rPr>
          <w:rFonts w:eastAsia="Times New Roman"/>
        </w:rPr>
        <w:t>.</w:t>
      </w:r>
      <w:proofErr w:type="gramEnd"/>
    </w:p>
    <w:p w14:paraId="43812E9C" w14:textId="77777777" w:rsidR="00C82F62" w:rsidRDefault="00C82F62" w:rsidP="00C82F62">
      <w:pPr>
        <w:pStyle w:val="H1G"/>
      </w:pPr>
      <w:r w:rsidRPr="007949E7">
        <w:tab/>
        <w:t>C.</w:t>
      </w:r>
      <w:r w:rsidRPr="007949E7">
        <w:tab/>
        <w:t>Principal subjects of concern and recommendations</w:t>
      </w:r>
    </w:p>
    <w:p w14:paraId="4DE5E3EC" w14:textId="27DF3FD5" w:rsidR="004259F0" w:rsidRPr="002E4E24" w:rsidRDefault="004259F0" w:rsidP="00363DCC">
      <w:pPr>
        <w:pStyle w:val="H23G"/>
        <w:ind w:firstLine="0"/>
      </w:pPr>
      <w:r w:rsidRPr="002E4E24">
        <w:t xml:space="preserve">Domestic application of the Covenant </w:t>
      </w:r>
    </w:p>
    <w:p w14:paraId="654A9F07" w14:textId="0937A942" w:rsidR="00276EE6" w:rsidRDefault="00306951" w:rsidP="00306951">
      <w:pPr>
        <w:pStyle w:val="SingleTxtG"/>
        <w:tabs>
          <w:tab w:val="left" w:pos="1701"/>
        </w:tabs>
      </w:pPr>
      <w:r>
        <w:t>5.</w:t>
      </w:r>
      <w:r>
        <w:tab/>
      </w:r>
      <w:r w:rsidR="002C4378">
        <w:t xml:space="preserve">While noting </w:t>
      </w:r>
      <w:r w:rsidR="00261EDB">
        <w:t>that</w:t>
      </w:r>
      <w:r w:rsidR="00CE0C74">
        <w:t xml:space="preserve"> articles 98 and 108 of</w:t>
      </w:r>
      <w:r w:rsidR="00261EDB">
        <w:t xml:space="preserve"> the Constitution </w:t>
      </w:r>
      <w:r w:rsidR="00276EE6">
        <w:t xml:space="preserve">of the State party </w:t>
      </w:r>
      <w:r w:rsidR="00261EDB">
        <w:t xml:space="preserve">provide </w:t>
      </w:r>
      <w:r w:rsidR="00276EE6">
        <w:t xml:space="preserve">for </w:t>
      </w:r>
      <w:r w:rsidR="00261EDB">
        <w:t>direct application of the Covenant in the domestic legal order</w:t>
      </w:r>
      <w:r w:rsidR="002C4378">
        <w:t>, the</w:t>
      </w:r>
      <w:r w:rsidR="00261EDB">
        <w:t xml:space="preserve"> Committee</w:t>
      </w:r>
      <w:r w:rsidR="002C4378">
        <w:t xml:space="preserve"> </w:t>
      </w:r>
      <w:r w:rsidR="00276EE6">
        <w:t xml:space="preserve">regrets </w:t>
      </w:r>
      <w:r w:rsidR="00F5071B" w:rsidRPr="00F55F51">
        <w:t xml:space="preserve">that </w:t>
      </w:r>
      <w:r w:rsidR="00AD0A6B" w:rsidRPr="00F55F51">
        <w:t>neither</w:t>
      </w:r>
      <w:r w:rsidR="00276EE6" w:rsidRPr="00F55F51">
        <w:t xml:space="preserve"> </w:t>
      </w:r>
      <w:r w:rsidR="00F5071B" w:rsidRPr="00F55F51">
        <w:t xml:space="preserve">specific </w:t>
      </w:r>
      <w:r w:rsidR="00276EE6" w:rsidRPr="00F55F51">
        <w:t xml:space="preserve">cases </w:t>
      </w:r>
      <w:r w:rsidR="00AD0A6B" w:rsidRPr="00F55F51">
        <w:t xml:space="preserve">nor </w:t>
      </w:r>
      <w:r w:rsidR="00276EE6" w:rsidRPr="00F55F51">
        <w:t>s</w:t>
      </w:r>
      <w:r w:rsidR="00276EE6">
        <w:t>tatistical data</w:t>
      </w:r>
      <w:r w:rsidR="00AD0A6B">
        <w:t xml:space="preserve"> </w:t>
      </w:r>
      <w:proofErr w:type="gramStart"/>
      <w:r w:rsidR="00AD0A6B">
        <w:t>were presented</w:t>
      </w:r>
      <w:proofErr w:type="gramEnd"/>
      <w:r w:rsidR="00AD0A6B">
        <w:t xml:space="preserve"> illustrating </w:t>
      </w:r>
      <w:r w:rsidR="00DE3849">
        <w:t>judicial practice in this regard</w:t>
      </w:r>
      <w:r w:rsidR="00276EE6">
        <w:t xml:space="preserve">. The Committee is also concerned at the insufficient level of training provided for </w:t>
      </w:r>
      <w:r w:rsidR="009A1267">
        <w:t>judicial officials and legal professionals</w:t>
      </w:r>
      <w:r w:rsidR="00276EE6">
        <w:t xml:space="preserve"> on the Covenant rights.</w:t>
      </w:r>
    </w:p>
    <w:p w14:paraId="3575A418" w14:textId="0C1C072D" w:rsidR="006E233E" w:rsidRPr="009A1267" w:rsidRDefault="00306951" w:rsidP="00306951">
      <w:pPr>
        <w:pStyle w:val="SingleTxtG"/>
        <w:tabs>
          <w:tab w:val="left" w:pos="1701"/>
        </w:tabs>
        <w:rPr>
          <w:rFonts w:eastAsia="Times New Roman"/>
          <w:b/>
        </w:rPr>
      </w:pPr>
      <w:r w:rsidRPr="009A1267">
        <w:rPr>
          <w:rFonts w:eastAsia="Times New Roman"/>
        </w:rPr>
        <w:t>6.</w:t>
      </w:r>
      <w:r w:rsidRPr="009A1267">
        <w:rPr>
          <w:rFonts w:eastAsia="Times New Roman"/>
        </w:rPr>
        <w:tab/>
      </w:r>
      <w:r w:rsidR="00276EE6" w:rsidRPr="009A1267">
        <w:rPr>
          <w:rFonts w:hint="eastAsia"/>
          <w:b/>
          <w:lang w:eastAsia="ko-KR"/>
        </w:rPr>
        <w:t>The Committee recommends that the State party take all measures necessary to improve awareness about the direct applicability of the Covenant among judges</w:t>
      </w:r>
      <w:r w:rsidR="009A1267" w:rsidRPr="009A1267">
        <w:rPr>
          <w:b/>
          <w:lang w:eastAsia="ko-KR"/>
        </w:rPr>
        <w:t>, prosecutors</w:t>
      </w:r>
      <w:r w:rsidR="00276EE6" w:rsidRPr="009A1267">
        <w:rPr>
          <w:rFonts w:hint="eastAsia"/>
          <w:b/>
          <w:lang w:eastAsia="ko-KR"/>
        </w:rPr>
        <w:t xml:space="preserve"> and lawyers, </w:t>
      </w:r>
      <w:r w:rsidR="00276EE6" w:rsidRPr="009A1267">
        <w:rPr>
          <w:b/>
          <w:lang w:eastAsia="ko-KR"/>
        </w:rPr>
        <w:t xml:space="preserve">including </w:t>
      </w:r>
      <w:r w:rsidR="00E57B93">
        <w:rPr>
          <w:b/>
          <w:lang w:eastAsia="ko-KR"/>
        </w:rPr>
        <w:t xml:space="preserve">by </w:t>
      </w:r>
      <w:r w:rsidR="007604A4">
        <w:rPr>
          <w:b/>
          <w:lang w:eastAsia="ko-KR"/>
        </w:rPr>
        <w:t xml:space="preserve">integrating </w:t>
      </w:r>
      <w:r w:rsidR="00276EE6" w:rsidRPr="009A1267">
        <w:rPr>
          <w:b/>
          <w:lang w:eastAsia="ko-KR"/>
        </w:rPr>
        <w:t xml:space="preserve">the Covenant in the curriculum of the Academy </w:t>
      </w:r>
      <w:r w:rsidR="009A1267" w:rsidRPr="009A1267">
        <w:rPr>
          <w:b/>
          <w:lang w:eastAsia="ko-KR"/>
        </w:rPr>
        <w:t xml:space="preserve">for Judges and Public Prosecutors and other training </w:t>
      </w:r>
      <w:r w:rsidR="00F5071B" w:rsidRPr="00F55F51">
        <w:rPr>
          <w:b/>
          <w:lang w:eastAsia="ko-KR"/>
        </w:rPr>
        <w:t xml:space="preserve">programmes </w:t>
      </w:r>
      <w:r w:rsidR="009A1267" w:rsidRPr="00F55F51">
        <w:rPr>
          <w:b/>
          <w:lang w:eastAsia="ko-KR"/>
        </w:rPr>
        <w:t>for legal professionals. The Committee also recommends that the State party include in its next periodic report information on the application of the Covenant</w:t>
      </w:r>
      <w:r w:rsidR="00F5071B" w:rsidRPr="00F55F51">
        <w:rPr>
          <w:b/>
          <w:lang w:eastAsia="ko-KR"/>
        </w:rPr>
        <w:t xml:space="preserve"> by domestic courts</w:t>
      </w:r>
      <w:r w:rsidR="009A1267" w:rsidRPr="00F55F51">
        <w:rPr>
          <w:b/>
          <w:lang w:eastAsia="ko-KR"/>
        </w:rPr>
        <w:t>. The Com</w:t>
      </w:r>
      <w:r w:rsidR="009A1267" w:rsidRPr="009A1267">
        <w:rPr>
          <w:b/>
          <w:lang w:eastAsia="ko-KR"/>
        </w:rPr>
        <w:t>mittee refers to its general comment No. 9</w:t>
      </w:r>
      <w:r w:rsidR="007C2C6E">
        <w:rPr>
          <w:b/>
          <w:lang w:eastAsia="ko-KR"/>
        </w:rPr>
        <w:t xml:space="preserve"> </w:t>
      </w:r>
      <w:r w:rsidR="009A1267" w:rsidRPr="009A1267">
        <w:rPr>
          <w:b/>
          <w:lang w:eastAsia="ko-KR"/>
        </w:rPr>
        <w:t>(1998) on the domestic application of the Covenant.</w:t>
      </w:r>
    </w:p>
    <w:p w14:paraId="10C9EA01" w14:textId="77777777" w:rsidR="008C5AD4" w:rsidRPr="006F063A" w:rsidRDefault="00C3534B" w:rsidP="00E85591">
      <w:pPr>
        <w:pStyle w:val="H23G"/>
        <w:ind w:firstLine="0"/>
      </w:pPr>
      <w:r w:rsidRPr="006F063A">
        <w:t>Data collection</w:t>
      </w:r>
    </w:p>
    <w:p w14:paraId="2D22DB3E" w14:textId="43149AF5" w:rsidR="00C3534B" w:rsidRPr="00DE6935" w:rsidRDefault="00306951" w:rsidP="00306951">
      <w:pPr>
        <w:pStyle w:val="SingleTxtG"/>
        <w:tabs>
          <w:tab w:val="left" w:pos="1701"/>
        </w:tabs>
      </w:pPr>
      <w:r w:rsidRPr="00DE6935">
        <w:t>7.</w:t>
      </w:r>
      <w:r w:rsidRPr="00DE6935">
        <w:tab/>
      </w:r>
      <w:r w:rsidR="00C3534B" w:rsidRPr="00DE6935">
        <w:t>The Committee regret</w:t>
      </w:r>
      <w:r w:rsidR="009A1267">
        <w:t>s</w:t>
      </w:r>
      <w:r w:rsidR="00D30281" w:rsidRPr="00DE6935">
        <w:t xml:space="preserve"> </w:t>
      </w:r>
      <w:r w:rsidR="00FA732C">
        <w:t>that the</w:t>
      </w:r>
      <w:r w:rsidR="00AE7109">
        <w:t xml:space="preserve"> State party has </w:t>
      </w:r>
      <w:r w:rsidR="009A1267">
        <w:t xml:space="preserve">postponed </w:t>
      </w:r>
      <w:r w:rsidR="00AE7109">
        <w:t xml:space="preserve">the </w:t>
      </w:r>
      <w:r w:rsidR="00BB078D">
        <w:t xml:space="preserve">population </w:t>
      </w:r>
      <w:r w:rsidR="00AE7109">
        <w:t>census</w:t>
      </w:r>
      <w:r w:rsidR="00FA732C">
        <w:t xml:space="preserve"> </w:t>
      </w:r>
      <w:r w:rsidR="00241100">
        <w:t xml:space="preserve">originally </w:t>
      </w:r>
      <w:r w:rsidR="00241100" w:rsidRPr="00F55F51">
        <w:t xml:space="preserve">planned </w:t>
      </w:r>
      <w:r w:rsidR="00F5071B" w:rsidRPr="00F55F51">
        <w:t xml:space="preserve">for </w:t>
      </w:r>
      <w:r w:rsidR="00D30281" w:rsidRPr="00F55F51">
        <w:t>2011</w:t>
      </w:r>
      <w:r w:rsidR="00B3100B" w:rsidRPr="00F55F51">
        <w:t xml:space="preserve"> and </w:t>
      </w:r>
      <w:r w:rsidR="00812075" w:rsidRPr="00F55F51">
        <w:t>that</w:t>
      </w:r>
      <w:r w:rsidR="00F5071B" w:rsidRPr="00F55F51">
        <w:t xml:space="preserve">, as a result, </w:t>
      </w:r>
      <w:r w:rsidR="00B3100B" w:rsidRPr="00F55F51">
        <w:t xml:space="preserve">there </w:t>
      </w:r>
      <w:r w:rsidR="00E57B93">
        <w:t xml:space="preserve">are </w:t>
      </w:r>
      <w:r w:rsidR="00B3100B">
        <w:t>no updated data on the composition of the population.</w:t>
      </w:r>
      <w:r w:rsidR="008527C7">
        <w:t xml:space="preserve"> </w:t>
      </w:r>
      <w:r w:rsidR="00D30281" w:rsidRPr="00DE6935">
        <w:t xml:space="preserve">The Committee is </w:t>
      </w:r>
      <w:r w:rsidR="00BB078D">
        <w:t xml:space="preserve">also </w:t>
      </w:r>
      <w:r w:rsidR="00D30281" w:rsidRPr="00DE6935">
        <w:t xml:space="preserve">concerned </w:t>
      </w:r>
      <w:r w:rsidR="008527C7">
        <w:t xml:space="preserve">at the insufficient </w:t>
      </w:r>
      <w:r w:rsidR="009A1267">
        <w:t xml:space="preserve">statistical data provided by the State party </w:t>
      </w:r>
      <w:r w:rsidR="00D30281" w:rsidRPr="00DE6935">
        <w:t xml:space="preserve">on the </w:t>
      </w:r>
      <w:r w:rsidR="00771008">
        <w:t>realization</w:t>
      </w:r>
      <w:r w:rsidR="00D30281" w:rsidRPr="00DE6935">
        <w:t xml:space="preserve"> of economic, social and cultural rights.</w:t>
      </w:r>
    </w:p>
    <w:p w14:paraId="48B6948F" w14:textId="350FA929" w:rsidR="00DF1F2B" w:rsidRPr="00FC5B50" w:rsidRDefault="00306951" w:rsidP="00306951">
      <w:pPr>
        <w:pStyle w:val="SingleTxtG"/>
        <w:tabs>
          <w:tab w:val="left" w:pos="1701"/>
        </w:tabs>
        <w:rPr>
          <w:b/>
        </w:rPr>
      </w:pPr>
      <w:r w:rsidRPr="00FC5B50">
        <w:t>8.</w:t>
      </w:r>
      <w:r w:rsidRPr="00FC5B50">
        <w:tab/>
      </w:r>
      <w:r w:rsidR="00D30281" w:rsidRPr="00DE6935">
        <w:rPr>
          <w:b/>
        </w:rPr>
        <w:t>The Committee</w:t>
      </w:r>
      <w:r w:rsidR="005C2F08">
        <w:rPr>
          <w:b/>
        </w:rPr>
        <w:t xml:space="preserve"> urges</w:t>
      </w:r>
      <w:r w:rsidR="00DF1F2B">
        <w:rPr>
          <w:b/>
        </w:rPr>
        <w:t xml:space="preserve"> </w:t>
      </w:r>
      <w:r w:rsidR="00D30281" w:rsidRPr="00DE6935">
        <w:rPr>
          <w:b/>
        </w:rPr>
        <w:t xml:space="preserve">the State party </w:t>
      </w:r>
      <w:r w:rsidR="005C2F08">
        <w:rPr>
          <w:b/>
        </w:rPr>
        <w:t>to</w:t>
      </w:r>
      <w:r w:rsidR="00B3100B">
        <w:rPr>
          <w:b/>
        </w:rPr>
        <w:t xml:space="preserve"> </w:t>
      </w:r>
      <w:r w:rsidR="005C2F08">
        <w:rPr>
          <w:b/>
        </w:rPr>
        <w:t>conduct</w:t>
      </w:r>
      <w:r w:rsidR="00DF1F2B">
        <w:rPr>
          <w:b/>
        </w:rPr>
        <w:t xml:space="preserve"> </w:t>
      </w:r>
      <w:r w:rsidR="00D30281" w:rsidRPr="00DE6935">
        <w:rPr>
          <w:b/>
        </w:rPr>
        <w:t xml:space="preserve">the </w:t>
      </w:r>
      <w:r w:rsidR="00BB078D">
        <w:rPr>
          <w:b/>
        </w:rPr>
        <w:t xml:space="preserve">population </w:t>
      </w:r>
      <w:r w:rsidR="005C2F08">
        <w:rPr>
          <w:b/>
        </w:rPr>
        <w:t>c</w:t>
      </w:r>
      <w:r w:rsidR="00DE6935" w:rsidRPr="00DE6935">
        <w:rPr>
          <w:b/>
        </w:rPr>
        <w:t xml:space="preserve">ensus </w:t>
      </w:r>
      <w:r w:rsidR="00B3100B">
        <w:rPr>
          <w:b/>
        </w:rPr>
        <w:t>without further delay</w:t>
      </w:r>
      <w:r w:rsidR="00DE6935" w:rsidRPr="00DE6935">
        <w:rPr>
          <w:b/>
        </w:rPr>
        <w:t xml:space="preserve">. </w:t>
      </w:r>
      <w:r w:rsidR="00E57B93">
        <w:rPr>
          <w:b/>
        </w:rPr>
        <w:t>It</w:t>
      </w:r>
      <w:r w:rsidR="00DE6935" w:rsidRPr="00DE6935">
        <w:rPr>
          <w:b/>
        </w:rPr>
        <w:t xml:space="preserve"> recommends that the State party </w:t>
      </w:r>
      <w:r w:rsidR="00771008">
        <w:rPr>
          <w:b/>
        </w:rPr>
        <w:t xml:space="preserve">take all measures necessary to </w:t>
      </w:r>
      <w:r w:rsidR="00DF1F2B">
        <w:rPr>
          <w:b/>
        </w:rPr>
        <w:t>improve its data collection system</w:t>
      </w:r>
      <w:r w:rsidR="001B3907">
        <w:rPr>
          <w:b/>
        </w:rPr>
        <w:t xml:space="preserve"> </w:t>
      </w:r>
      <w:r w:rsidR="001B3907" w:rsidRPr="008064C7">
        <w:rPr>
          <w:b/>
        </w:rPr>
        <w:t>to enable the timely collection of reliable data</w:t>
      </w:r>
      <w:r w:rsidR="00F55F51" w:rsidRPr="00F55F51">
        <w:rPr>
          <w:b/>
        </w:rPr>
        <w:t xml:space="preserve"> </w:t>
      </w:r>
      <w:r w:rsidR="00F55F51">
        <w:rPr>
          <w:rFonts w:hint="eastAsia"/>
          <w:b/>
          <w:lang w:eastAsia="ko-KR"/>
        </w:rPr>
        <w:t>on the situation in all areas of Covenant rights</w:t>
      </w:r>
      <w:r w:rsidR="001B3907" w:rsidRPr="008064C7">
        <w:rPr>
          <w:b/>
        </w:rPr>
        <w:t>, robust analysis, and effective and efficient data management</w:t>
      </w:r>
      <w:r w:rsidR="00771008">
        <w:rPr>
          <w:b/>
        </w:rPr>
        <w:t>.</w:t>
      </w:r>
    </w:p>
    <w:p w14:paraId="1F6DFD2E" w14:textId="46F85FDC" w:rsidR="005F5A20" w:rsidRPr="002E4E24" w:rsidRDefault="00A043D1" w:rsidP="007B16E9">
      <w:pPr>
        <w:pStyle w:val="H23G"/>
        <w:ind w:firstLine="0"/>
      </w:pPr>
      <w:r w:rsidRPr="002E4E24">
        <w:t>Impact of de</w:t>
      </w:r>
      <w:r w:rsidR="00A26181" w:rsidRPr="002E4E24">
        <w:t>centralization</w:t>
      </w:r>
      <w:r w:rsidRPr="002E4E24">
        <w:t xml:space="preserve"> on </w:t>
      </w:r>
      <w:r w:rsidR="00A26181" w:rsidRPr="002E4E24">
        <w:t xml:space="preserve">the enjoyment of </w:t>
      </w:r>
      <w:r w:rsidRPr="002E4E24">
        <w:t>economic, social and cultural rights</w:t>
      </w:r>
    </w:p>
    <w:p w14:paraId="59968F46" w14:textId="34D96635" w:rsidR="005F5A20" w:rsidRDefault="00306951" w:rsidP="00306951">
      <w:pPr>
        <w:pStyle w:val="SingleTxtG"/>
        <w:tabs>
          <w:tab w:val="left" w:pos="1701"/>
        </w:tabs>
      </w:pPr>
      <w:r>
        <w:t>9.</w:t>
      </w:r>
      <w:r>
        <w:tab/>
      </w:r>
      <w:r w:rsidR="001B3907">
        <w:t xml:space="preserve">The Committee notes that </w:t>
      </w:r>
      <w:r w:rsidR="00C00D9A">
        <w:t xml:space="preserve">some responsibilities of the central </w:t>
      </w:r>
      <w:r w:rsidR="00E57B93">
        <w:t>G</w:t>
      </w:r>
      <w:r w:rsidR="00C00D9A">
        <w:t>overnmen</w:t>
      </w:r>
      <w:r w:rsidR="00FC103E">
        <w:t>t</w:t>
      </w:r>
      <w:r w:rsidR="00812075">
        <w:t>,</w:t>
      </w:r>
      <w:r w:rsidR="00812075" w:rsidRPr="00812075">
        <w:t xml:space="preserve"> </w:t>
      </w:r>
      <w:r w:rsidR="00812075">
        <w:t xml:space="preserve">particularly in the areas of social security, water and sanitation, primary </w:t>
      </w:r>
      <w:r w:rsidR="00F55F51">
        <w:t>health</w:t>
      </w:r>
      <w:r w:rsidR="00E57B93">
        <w:t xml:space="preserve"> </w:t>
      </w:r>
      <w:r w:rsidR="00F55F51">
        <w:t xml:space="preserve">care </w:t>
      </w:r>
      <w:r w:rsidR="00F55F51">
        <w:rPr>
          <w:rFonts w:hint="eastAsia"/>
          <w:lang w:eastAsia="ko-KR"/>
        </w:rPr>
        <w:t xml:space="preserve">and other public </w:t>
      </w:r>
      <w:r w:rsidR="00F55F51">
        <w:t>services,</w:t>
      </w:r>
      <w:r w:rsidR="00F55F51">
        <w:rPr>
          <w:rFonts w:hint="eastAsia"/>
          <w:lang w:eastAsia="ko-KR"/>
        </w:rPr>
        <w:t xml:space="preserve"> and</w:t>
      </w:r>
      <w:r w:rsidR="00F55F51">
        <w:t xml:space="preserve"> primary and secondary education</w:t>
      </w:r>
      <w:r w:rsidR="00812075">
        <w:t>,</w:t>
      </w:r>
      <w:r w:rsidR="00C00D9A">
        <w:t xml:space="preserve"> have been devolved to municipal</w:t>
      </w:r>
      <w:r w:rsidR="008E124A">
        <w:t>ities</w:t>
      </w:r>
      <w:r w:rsidR="00C00D9A">
        <w:t xml:space="preserve"> </w:t>
      </w:r>
      <w:r w:rsidR="00A043D1">
        <w:t>in the process of de</w:t>
      </w:r>
      <w:r w:rsidR="00A26181">
        <w:t>centralization</w:t>
      </w:r>
      <w:r w:rsidR="00A043D1">
        <w:t xml:space="preserve">. </w:t>
      </w:r>
      <w:r w:rsidR="005F5A20">
        <w:t>The Committee</w:t>
      </w:r>
      <w:r w:rsidR="00FC103E">
        <w:t xml:space="preserve"> is</w:t>
      </w:r>
      <w:r w:rsidR="005F5A20">
        <w:t xml:space="preserve"> concerned</w:t>
      </w:r>
      <w:r w:rsidR="008E124A">
        <w:t>, however,</w:t>
      </w:r>
      <w:r w:rsidR="005F5A20">
        <w:t xml:space="preserve"> at the </w:t>
      </w:r>
      <w:r w:rsidR="00C00D9A">
        <w:t xml:space="preserve">large discrepancies in </w:t>
      </w:r>
      <w:r w:rsidR="00A043D1">
        <w:t>administrative and financial capacit</w:t>
      </w:r>
      <w:r w:rsidR="009326AA">
        <w:t xml:space="preserve">ies </w:t>
      </w:r>
      <w:r w:rsidR="00A26181" w:rsidRPr="00F55F51">
        <w:t>among</w:t>
      </w:r>
      <w:r w:rsidR="00A043D1" w:rsidRPr="00F55F51">
        <w:t xml:space="preserve"> </w:t>
      </w:r>
      <w:r w:rsidR="00F5071B" w:rsidRPr="00F55F51">
        <w:t>municipal authorities</w:t>
      </w:r>
      <w:r w:rsidR="00A043D1" w:rsidRPr="00F55F51">
        <w:t xml:space="preserve">, which may have discriminatory effects on the enjoyment of </w:t>
      </w:r>
      <w:r w:rsidR="00425713">
        <w:t xml:space="preserve">the </w:t>
      </w:r>
      <w:r w:rsidR="00A043D1" w:rsidRPr="00F55F51">
        <w:t>econo</w:t>
      </w:r>
      <w:r w:rsidR="00A043D1">
        <w:t xml:space="preserve">mic, social and cultural rights of the people living </w:t>
      </w:r>
      <w:r w:rsidR="00C2224C">
        <w:t xml:space="preserve">in </w:t>
      </w:r>
      <w:r w:rsidR="00C2224C">
        <w:rPr>
          <w:rFonts w:hint="eastAsia"/>
          <w:lang w:eastAsia="ko-KR"/>
        </w:rPr>
        <w:t>different part</w:t>
      </w:r>
      <w:r w:rsidR="00752416">
        <w:rPr>
          <w:lang w:eastAsia="ko-KR"/>
        </w:rPr>
        <w:t>s</w:t>
      </w:r>
      <w:r w:rsidR="00C2224C">
        <w:rPr>
          <w:rFonts w:hint="eastAsia"/>
          <w:lang w:eastAsia="ko-KR"/>
        </w:rPr>
        <w:t xml:space="preserve"> of </w:t>
      </w:r>
      <w:r w:rsidR="00A043D1">
        <w:t xml:space="preserve">the State party, </w:t>
      </w:r>
      <w:r w:rsidR="005F5A20">
        <w:t>particularly those living in rural areas.</w:t>
      </w:r>
    </w:p>
    <w:p w14:paraId="000347CD" w14:textId="4AD1F9F7" w:rsidR="005F5A20" w:rsidRPr="004D5720" w:rsidRDefault="00306951" w:rsidP="00306951">
      <w:pPr>
        <w:pStyle w:val="SingleTxtG"/>
        <w:tabs>
          <w:tab w:val="left" w:pos="1701"/>
        </w:tabs>
      </w:pPr>
      <w:r w:rsidRPr="00833DF0">
        <w:lastRenderedPageBreak/>
        <w:t>10.</w:t>
      </w:r>
      <w:r w:rsidRPr="00833DF0">
        <w:tab/>
      </w:r>
      <w:r w:rsidR="00833DF0" w:rsidRPr="00F55F51">
        <w:rPr>
          <w:b/>
        </w:rPr>
        <w:t xml:space="preserve">The Committee reminds the State party that </w:t>
      </w:r>
      <w:r w:rsidR="005F5A20" w:rsidRPr="00F55F51">
        <w:rPr>
          <w:b/>
        </w:rPr>
        <w:t xml:space="preserve">decentralization of </w:t>
      </w:r>
      <w:r w:rsidR="00363E73" w:rsidRPr="00F55F51">
        <w:rPr>
          <w:b/>
        </w:rPr>
        <w:t xml:space="preserve">powers </w:t>
      </w:r>
      <w:r w:rsidR="005F5A20" w:rsidRPr="00F55F51">
        <w:rPr>
          <w:b/>
        </w:rPr>
        <w:t>by no means reduces the responsibility of the State party</w:t>
      </w:r>
      <w:r w:rsidR="00F55F51" w:rsidRPr="00F55F51">
        <w:rPr>
          <w:b/>
        </w:rPr>
        <w:t xml:space="preserve"> for fulfilling</w:t>
      </w:r>
      <w:r w:rsidR="00B347BD" w:rsidRPr="00F55F51">
        <w:rPr>
          <w:b/>
        </w:rPr>
        <w:t xml:space="preserve"> </w:t>
      </w:r>
      <w:r w:rsidR="005F5A20" w:rsidRPr="00F55F51">
        <w:rPr>
          <w:b/>
        </w:rPr>
        <w:t>its obligations under the Covenant</w:t>
      </w:r>
      <w:r w:rsidR="00EF4F48" w:rsidRPr="00F55F51">
        <w:rPr>
          <w:b/>
        </w:rPr>
        <w:t xml:space="preserve">. </w:t>
      </w:r>
      <w:proofErr w:type="gramStart"/>
      <w:r w:rsidR="00EF4F48" w:rsidRPr="00F55F51">
        <w:rPr>
          <w:b/>
        </w:rPr>
        <w:t>T</w:t>
      </w:r>
      <w:r w:rsidR="005F5A20" w:rsidRPr="00F55F51">
        <w:rPr>
          <w:b/>
        </w:rPr>
        <w:t xml:space="preserve">he Committee recommends that the State party </w:t>
      </w:r>
      <w:r w:rsidR="00833DF0" w:rsidRPr="00F55F51">
        <w:rPr>
          <w:b/>
        </w:rPr>
        <w:t xml:space="preserve">increase the awareness of the municipal authorities regarding their obligations under the Covenant and </w:t>
      </w:r>
      <w:r w:rsidR="005F5A20" w:rsidRPr="00F55F51">
        <w:rPr>
          <w:b/>
        </w:rPr>
        <w:t xml:space="preserve">take all measures necessary to </w:t>
      </w:r>
      <w:r w:rsidR="00A67DA9" w:rsidRPr="00F55F51">
        <w:rPr>
          <w:b/>
        </w:rPr>
        <w:t xml:space="preserve">enable </w:t>
      </w:r>
      <w:r w:rsidR="00E27961" w:rsidRPr="00F55F51">
        <w:rPr>
          <w:b/>
        </w:rPr>
        <w:t>all municipalities to</w:t>
      </w:r>
      <w:r w:rsidR="005F5A20" w:rsidRPr="00F55F51">
        <w:rPr>
          <w:b/>
        </w:rPr>
        <w:t xml:space="preserve"> carry out their responsibilities with a view to ensuring that all people, in urban </w:t>
      </w:r>
      <w:r w:rsidR="002706FB">
        <w:rPr>
          <w:b/>
        </w:rPr>
        <w:t>and</w:t>
      </w:r>
      <w:r w:rsidR="002706FB" w:rsidRPr="00F55F51">
        <w:rPr>
          <w:b/>
        </w:rPr>
        <w:t xml:space="preserve"> </w:t>
      </w:r>
      <w:r w:rsidR="005F5A20" w:rsidRPr="00F55F51">
        <w:rPr>
          <w:b/>
        </w:rPr>
        <w:t xml:space="preserve">rural areas, enjoy the Covenant </w:t>
      </w:r>
      <w:r w:rsidR="005F5A20" w:rsidRPr="00A70854">
        <w:rPr>
          <w:b/>
        </w:rPr>
        <w:t>rights</w:t>
      </w:r>
      <w:r w:rsidR="002706FB">
        <w:rPr>
          <w:b/>
        </w:rPr>
        <w:t xml:space="preserve"> on an equal basis</w:t>
      </w:r>
      <w:r w:rsidR="001F3A96">
        <w:rPr>
          <w:b/>
        </w:rPr>
        <w:t xml:space="preserve">, including monitoring </w:t>
      </w:r>
      <w:r w:rsidR="000F4AEC">
        <w:rPr>
          <w:b/>
        </w:rPr>
        <w:t xml:space="preserve">by </w:t>
      </w:r>
      <w:r w:rsidR="002706FB">
        <w:rPr>
          <w:b/>
        </w:rPr>
        <w:t xml:space="preserve">the </w:t>
      </w:r>
      <w:r w:rsidR="001F3A96">
        <w:rPr>
          <w:b/>
        </w:rPr>
        <w:t xml:space="preserve">central </w:t>
      </w:r>
      <w:r w:rsidR="002706FB">
        <w:rPr>
          <w:b/>
        </w:rPr>
        <w:t>G</w:t>
      </w:r>
      <w:r w:rsidR="001F3A96">
        <w:rPr>
          <w:b/>
        </w:rPr>
        <w:t xml:space="preserve">overnment </w:t>
      </w:r>
      <w:r w:rsidR="000F4AEC">
        <w:rPr>
          <w:b/>
        </w:rPr>
        <w:t xml:space="preserve">of the implementation of the Covenant rights by </w:t>
      </w:r>
      <w:r w:rsidR="001F3A96">
        <w:rPr>
          <w:b/>
        </w:rPr>
        <w:t>municipalities</w:t>
      </w:r>
      <w:r w:rsidR="005F5A20" w:rsidRPr="00A70854">
        <w:rPr>
          <w:b/>
        </w:rPr>
        <w:t>.</w:t>
      </w:r>
      <w:proofErr w:type="gramEnd"/>
      <w:r w:rsidR="005F5A20">
        <w:rPr>
          <w:b/>
        </w:rPr>
        <w:t xml:space="preserve"> Th</w:t>
      </w:r>
      <w:r w:rsidR="00771008">
        <w:rPr>
          <w:b/>
        </w:rPr>
        <w:t>e Committee</w:t>
      </w:r>
      <w:r w:rsidR="005F5A20">
        <w:rPr>
          <w:b/>
        </w:rPr>
        <w:t xml:space="preserve"> also recommends that the State party c</w:t>
      </w:r>
      <w:r w:rsidR="005F5A20" w:rsidRPr="00A70854">
        <w:rPr>
          <w:b/>
        </w:rPr>
        <w:t xml:space="preserve">onduct a comprehensive analysis of the </w:t>
      </w:r>
      <w:r w:rsidR="00310878">
        <w:rPr>
          <w:b/>
        </w:rPr>
        <w:t>impact</w:t>
      </w:r>
      <w:r w:rsidR="00310878" w:rsidRPr="00A70854">
        <w:rPr>
          <w:b/>
        </w:rPr>
        <w:t xml:space="preserve"> </w:t>
      </w:r>
      <w:r w:rsidR="005F5A20" w:rsidRPr="00A70854">
        <w:rPr>
          <w:b/>
        </w:rPr>
        <w:t xml:space="preserve">of the decentralization process on the </w:t>
      </w:r>
      <w:r w:rsidR="00310878">
        <w:rPr>
          <w:b/>
        </w:rPr>
        <w:t xml:space="preserve">enjoyment of </w:t>
      </w:r>
      <w:r w:rsidR="005F5A20">
        <w:rPr>
          <w:b/>
        </w:rPr>
        <w:t>economic, social and cultural rights</w:t>
      </w:r>
      <w:r w:rsidR="00F55F51">
        <w:rPr>
          <w:b/>
        </w:rPr>
        <w:t>.</w:t>
      </w:r>
    </w:p>
    <w:p w14:paraId="18E62F02" w14:textId="746F4AB3" w:rsidR="00F1658A" w:rsidRPr="002E4E24" w:rsidRDefault="00F1658A" w:rsidP="00F1658A">
      <w:pPr>
        <w:pStyle w:val="H23G"/>
        <w:ind w:firstLine="0"/>
      </w:pPr>
      <w:r w:rsidRPr="002E4E24">
        <w:t>Ombudsman</w:t>
      </w:r>
    </w:p>
    <w:p w14:paraId="175EB74B" w14:textId="36A373D4" w:rsidR="00EE2239" w:rsidRDefault="00306951" w:rsidP="00306951">
      <w:pPr>
        <w:pStyle w:val="SingleTxtG"/>
        <w:tabs>
          <w:tab w:val="left" w:pos="1701"/>
        </w:tabs>
      </w:pPr>
      <w:r>
        <w:t>11.</w:t>
      </w:r>
      <w:r>
        <w:tab/>
      </w:r>
      <w:r w:rsidR="00F1658A">
        <w:rPr>
          <w:rFonts w:hint="eastAsia"/>
          <w:lang w:eastAsia="ko-KR"/>
        </w:rPr>
        <w:t xml:space="preserve">The Committee </w:t>
      </w:r>
      <w:r w:rsidR="0097748A">
        <w:rPr>
          <w:lang w:eastAsia="ko-KR"/>
        </w:rPr>
        <w:t>regrets</w:t>
      </w:r>
      <w:r w:rsidR="00F1658A">
        <w:rPr>
          <w:rFonts w:hint="eastAsia"/>
          <w:lang w:eastAsia="ko-KR"/>
        </w:rPr>
        <w:t xml:space="preserve"> that the </w:t>
      </w:r>
      <w:r w:rsidR="005C65C5">
        <w:rPr>
          <w:lang w:eastAsia="ko-KR"/>
        </w:rPr>
        <w:t xml:space="preserve">institution of the </w:t>
      </w:r>
      <w:r w:rsidR="00F1658A">
        <w:rPr>
          <w:lang w:eastAsia="ko-KR"/>
        </w:rPr>
        <w:t>Ombudsman</w:t>
      </w:r>
      <w:r w:rsidR="00C2224C">
        <w:rPr>
          <w:lang w:eastAsia="ko-KR"/>
        </w:rPr>
        <w:t>,</w:t>
      </w:r>
      <w:r w:rsidR="00F1658A">
        <w:rPr>
          <w:lang w:eastAsia="ko-KR"/>
        </w:rPr>
        <w:t xml:space="preserve"> </w:t>
      </w:r>
      <w:r w:rsidR="002706FB">
        <w:rPr>
          <w:rFonts w:hint="eastAsia"/>
          <w:lang w:eastAsia="ko-KR"/>
        </w:rPr>
        <w:t xml:space="preserve">accredited by the </w:t>
      </w:r>
      <w:r w:rsidR="00F53310">
        <w:rPr>
          <w:lang w:eastAsia="ko-KR"/>
        </w:rPr>
        <w:t>Global Alliance</w:t>
      </w:r>
      <w:r w:rsidR="002706FB">
        <w:rPr>
          <w:rFonts w:hint="eastAsia"/>
          <w:lang w:eastAsia="ko-KR"/>
        </w:rPr>
        <w:t xml:space="preserve"> of National Human Rights Institutions</w:t>
      </w:r>
      <w:r w:rsidR="00F53310">
        <w:rPr>
          <w:lang w:eastAsia="ko-KR"/>
        </w:rPr>
        <w:t xml:space="preserve"> </w:t>
      </w:r>
      <w:r w:rsidR="00E85591">
        <w:rPr>
          <w:lang w:eastAsia="ko-KR"/>
        </w:rPr>
        <w:t>(</w:t>
      </w:r>
      <w:r w:rsidR="00F53310">
        <w:rPr>
          <w:lang w:eastAsia="ko-KR"/>
        </w:rPr>
        <w:t xml:space="preserve">formerly </w:t>
      </w:r>
      <w:r w:rsidR="008B7332">
        <w:rPr>
          <w:lang w:eastAsia="ko-KR"/>
        </w:rPr>
        <w:t xml:space="preserve">known as the </w:t>
      </w:r>
      <w:r w:rsidR="00E85591">
        <w:rPr>
          <w:lang w:eastAsia="ko-KR"/>
        </w:rPr>
        <w:t>International Coordin</w:t>
      </w:r>
      <w:r w:rsidR="00F53310">
        <w:rPr>
          <w:lang w:eastAsia="ko-KR"/>
        </w:rPr>
        <w:t>ating Committee</w:t>
      </w:r>
      <w:r w:rsidR="008B7332">
        <w:rPr>
          <w:lang w:eastAsia="ko-KR"/>
        </w:rPr>
        <w:t xml:space="preserve"> of National Human Rights Institutions)</w:t>
      </w:r>
      <w:r w:rsidR="002706FB">
        <w:rPr>
          <w:lang w:eastAsia="ko-KR"/>
        </w:rPr>
        <w:t xml:space="preserve"> </w:t>
      </w:r>
      <w:r w:rsidR="00C2224C">
        <w:rPr>
          <w:lang w:eastAsia="ko-KR"/>
        </w:rPr>
        <w:t xml:space="preserve">with </w:t>
      </w:r>
      <w:r w:rsidR="00F1658A">
        <w:rPr>
          <w:lang w:eastAsia="ko-KR"/>
        </w:rPr>
        <w:t>B</w:t>
      </w:r>
      <w:r w:rsidR="002706FB">
        <w:rPr>
          <w:lang w:eastAsia="ko-KR"/>
        </w:rPr>
        <w:t xml:space="preserve"> </w:t>
      </w:r>
      <w:r w:rsidR="00F1658A">
        <w:rPr>
          <w:lang w:eastAsia="ko-KR"/>
        </w:rPr>
        <w:t>status</w:t>
      </w:r>
      <w:r w:rsidR="00C2224C">
        <w:rPr>
          <w:lang w:eastAsia="ko-KR"/>
        </w:rPr>
        <w:t>,</w:t>
      </w:r>
      <w:r w:rsidR="00F1658A">
        <w:rPr>
          <w:lang w:eastAsia="ko-KR"/>
        </w:rPr>
        <w:t xml:space="preserve"> </w:t>
      </w:r>
      <w:r w:rsidR="005C65C5">
        <w:rPr>
          <w:lang w:eastAsia="ko-KR"/>
        </w:rPr>
        <w:t xml:space="preserve">is </w:t>
      </w:r>
      <w:r w:rsidR="00EE2239">
        <w:rPr>
          <w:lang w:eastAsia="ko-KR"/>
        </w:rPr>
        <w:t>no</w:t>
      </w:r>
      <w:r w:rsidR="00AF0DA1">
        <w:rPr>
          <w:lang w:eastAsia="ko-KR"/>
        </w:rPr>
        <w:t>t fully</w:t>
      </w:r>
      <w:r w:rsidR="00B3100B">
        <w:rPr>
          <w:lang w:eastAsia="ko-KR"/>
        </w:rPr>
        <w:t xml:space="preserve"> </w:t>
      </w:r>
      <w:r w:rsidR="00EE2239">
        <w:rPr>
          <w:lang w:eastAsia="ko-KR"/>
        </w:rPr>
        <w:t xml:space="preserve">compliant </w:t>
      </w:r>
      <w:r w:rsidR="00F1658A">
        <w:rPr>
          <w:lang w:eastAsia="ko-KR"/>
        </w:rPr>
        <w:t xml:space="preserve">with the </w:t>
      </w:r>
      <w:r w:rsidR="002706FB">
        <w:rPr>
          <w:lang w:eastAsia="ko-KR"/>
        </w:rPr>
        <w:t>principles relating to national institutions for the promotion and protection of human rights</w:t>
      </w:r>
      <w:r w:rsidR="00FD54F9">
        <w:rPr>
          <w:lang w:eastAsia="ko-KR"/>
        </w:rPr>
        <w:t xml:space="preserve"> (</w:t>
      </w:r>
      <w:r w:rsidR="008A5D92">
        <w:rPr>
          <w:lang w:eastAsia="ko-KR"/>
        </w:rPr>
        <w:t xml:space="preserve">the </w:t>
      </w:r>
      <w:r w:rsidR="00F1658A">
        <w:rPr>
          <w:lang w:eastAsia="ko-KR"/>
        </w:rPr>
        <w:t>Paris Principles</w:t>
      </w:r>
      <w:r w:rsidR="00FD54F9">
        <w:rPr>
          <w:lang w:eastAsia="ko-KR"/>
        </w:rPr>
        <w:t>)</w:t>
      </w:r>
      <w:r w:rsidR="00700B07">
        <w:rPr>
          <w:lang w:eastAsia="ko-KR"/>
        </w:rPr>
        <w:t xml:space="preserve">. </w:t>
      </w:r>
      <w:proofErr w:type="gramStart"/>
      <w:r w:rsidR="00700B07">
        <w:rPr>
          <w:lang w:eastAsia="ko-KR"/>
        </w:rPr>
        <w:t xml:space="preserve">The Committee is concerned </w:t>
      </w:r>
      <w:r w:rsidR="00B3100B">
        <w:rPr>
          <w:lang w:eastAsia="ko-KR"/>
        </w:rPr>
        <w:t xml:space="preserve">at the long delay in appointing </w:t>
      </w:r>
      <w:r w:rsidR="00700B07">
        <w:rPr>
          <w:lang w:eastAsia="ko-KR"/>
        </w:rPr>
        <w:t>three of the four Ombudsman’s deputies whose mandates expired in 2013</w:t>
      </w:r>
      <w:r w:rsidR="002706FB">
        <w:rPr>
          <w:lang w:eastAsia="ko-KR"/>
        </w:rPr>
        <w:t>/</w:t>
      </w:r>
      <w:r w:rsidR="00700B07">
        <w:rPr>
          <w:lang w:eastAsia="ko-KR"/>
        </w:rPr>
        <w:t>14</w:t>
      </w:r>
      <w:r w:rsidR="00B3100B">
        <w:rPr>
          <w:lang w:eastAsia="ko-KR"/>
        </w:rPr>
        <w:t>; at the</w:t>
      </w:r>
      <w:r w:rsidR="00EE2239">
        <w:rPr>
          <w:lang w:eastAsia="ko-KR"/>
        </w:rPr>
        <w:t xml:space="preserve"> </w:t>
      </w:r>
      <w:r w:rsidR="005C65C5">
        <w:rPr>
          <w:lang w:eastAsia="ko-KR"/>
        </w:rPr>
        <w:t>delays</w:t>
      </w:r>
      <w:r w:rsidR="00A67DA9">
        <w:rPr>
          <w:lang w:eastAsia="ko-KR"/>
        </w:rPr>
        <w:t xml:space="preserve"> </w:t>
      </w:r>
      <w:r w:rsidR="005C65C5">
        <w:rPr>
          <w:lang w:eastAsia="ko-KR"/>
        </w:rPr>
        <w:t xml:space="preserve">in the </w:t>
      </w:r>
      <w:r w:rsidR="00BB7158">
        <w:rPr>
          <w:lang w:eastAsia="ko-KR"/>
        </w:rPr>
        <w:t>adoption of amendments to</w:t>
      </w:r>
      <w:r w:rsidR="00B3100B">
        <w:rPr>
          <w:lang w:eastAsia="ko-KR"/>
        </w:rPr>
        <w:t xml:space="preserve"> the Law on </w:t>
      </w:r>
      <w:r w:rsidR="00ED3B64">
        <w:rPr>
          <w:lang w:eastAsia="ko-KR"/>
        </w:rPr>
        <w:t xml:space="preserve">the </w:t>
      </w:r>
      <w:r w:rsidR="00B3100B">
        <w:rPr>
          <w:lang w:eastAsia="ko-KR"/>
        </w:rPr>
        <w:t>Ombudsman of 2003 in accordance with the recommendations of the</w:t>
      </w:r>
      <w:r w:rsidR="00C2224C">
        <w:rPr>
          <w:lang w:eastAsia="ko-KR"/>
        </w:rPr>
        <w:t xml:space="preserve"> </w:t>
      </w:r>
      <w:r w:rsidR="008B7332">
        <w:rPr>
          <w:lang w:eastAsia="ko-KR"/>
        </w:rPr>
        <w:t>Global Alliance</w:t>
      </w:r>
      <w:r w:rsidR="002706FB">
        <w:rPr>
          <w:rFonts w:hint="eastAsia"/>
          <w:lang w:eastAsia="ko-KR"/>
        </w:rPr>
        <w:t xml:space="preserve"> </w:t>
      </w:r>
      <w:r w:rsidR="00B3100B">
        <w:rPr>
          <w:lang w:eastAsia="ko-KR"/>
        </w:rPr>
        <w:t>Subcommittee on Accreditation;</w:t>
      </w:r>
      <w:r w:rsidR="00EE2239">
        <w:rPr>
          <w:lang w:eastAsia="ko-KR"/>
        </w:rPr>
        <w:t xml:space="preserve"> at the </w:t>
      </w:r>
      <w:r w:rsidR="00B3100B">
        <w:rPr>
          <w:lang w:eastAsia="ko-KR"/>
        </w:rPr>
        <w:t xml:space="preserve">insufficient </w:t>
      </w:r>
      <w:r w:rsidR="00EE2239">
        <w:rPr>
          <w:lang w:eastAsia="ko-KR"/>
        </w:rPr>
        <w:t>level of human and financial resources provided to the Ombudsman</w:t>
      </w:r>
      <w:r w:rsidR="002706FB">
        <w:rPr>
          <w:lang w:eastAsia="ko-KR"/>
        </w:rPr>
        <w:t>’s</w:t>
      </w:r>
      <w:r w:rsidR="00EE2239">
        <w:rPr>
          <w:lang w:eastAsia="ko-KR"/>
        </w:rPr>
        <w:t xml:space="preserve"> Office</w:t>
      </w:r>
      <w:r w:rsidR="00B3100B">
        <w:rPr>
          <w:lang w:eastAsia="ko-KR"/>
        </w:rPr>
        <w:t xml:space="preserve">; and </w:t>
      </w:r>
      <w:r w:rsidR="00B61D25">
        <w:rPr>
          <w:lang w:eastAsia="ko-KR"/>
        </w:rPr>
        <w:t xml:space="preserve">at </w:t>
      </w:r>
      <w:r w:rsidR="00637E9E">
        <w:rPr>
          <w:lang w:eastAsia="ko-KR"/>
        </w:rPr>
        <w:t xml:space="preserve">the decreasing level of follow-up by relevant ministries on the </w:t>
      </w:r>
      <w:r w:rsidR="00B3100B">
        <w:rPr>
          <w:lang w:eastAsia="ko-KR"/>
        </w:rPr>
        <w:t xml:space="preserve">recommendations </w:t>
      </w:r>
      <w:r w:rsidR="00637E9E">
        <w:rPr>
          <w:lang w:eastAsia="ko-KR"/>
        </w:rPr>
        <w:t>made by</w:t>
      </w:r>
      <w:r w:rsidR="00B3100B">
        <w:rPr>
          <w:lang w:eastAsia="ko-KR"/>
        </w:rPr>
        <w:t xml:space="preserve"> the Om</w:t>
      </w:r>
      <w:r w:rsidR="00637E9E">
        <w:rPr>
          <w:lang w:eastAsia="ko-KR"/>
        </w:rPr>
        <w:t>b</w:t>
      </w:r>
      <w:r w:rsidR="00B3100B">
        <w:rPr>
          <w:lang w:eastAsia="ko-KR"/>
        </w:rPr>
        <w:t>udsman</w:t>
      </w:r>
      <w:r w:rsidR="00AF0DA1">
        <w:t>.</w:t>
      </w:r>
      <w:proofErr w:type="gramEnd"/>
      <w:r w:rsidR="002706FB">
        <w:t xml:space="preserve"> </w:t>
      </w:r>
    </w:p>
    <w:p w14:paraId="6677A66F" w14:textId="2CF6ABE5" w:rsidR="00C776D2" w:rsidRPr="006760E3" w:rsidRDefault="00306951" w:rsidP="00306951">
      <w:pPr>
        <w:pStyle w:val="SingleTxtG"/>
        <w:tabs>
          <w:tab w:val="left" w:pos="1701"/>
        </w:tabs>
        <w:rPr>
          <w:b/>
        </w:rPr>
      </w:pPr>
      <w:r w:rsidRPr="006760E3">
        <w:t>12.</w:t>
      </w:r>
      <w:r w:rsidRPr="006760E3">
        <w:tab/>
      </w:r>
      <w:r w:rsidR="00F1658A" w:rsidRPr="006760E3">
        <w:rPr>
          <w:b/>
        </w:rPr>
        <w:t xml:space="preserve">The </w:t>
      </w:r>
      <w:r w:rsidR="00F1658A" w:rsidRPr="00F55F51">
        <w:rPr>
          <w:b/>
        </w:rPr>
        <w:t xml:space="preserve">Committee </w:t>
      </w:r>
      <w:r w:rsidR="00637E9E" w:rsidRPr="00F55F51">
        <w:rPr>
          <w:b/>
        </w:rPr>
        <w:t>urge</w:t>
      </w:r>
      <w:r w:rsidR="00A67DA9" w:rsidRPr="00F55F51">
        <w:rPr>
          <w:b/>
        </w:rPr>
        <w:t>s</w:t>
      </w:r>
      <w:r w:rsidR="00637E9E" w:rsidRPr="00F55F51">
        <w:rPr>
          <w:b/>
        </w:rPr>
        <w:t xml:space="preserve"> the State party to </w:t>
      </w:r>
      <w:r w:rsidR="00425713">
        <w:rPr>
          <w:b/>
        </w:rPr>
        <w:t>fill</w:t>
      </w:r>
      <w:r w:rsidR="00637E9E" w:rsidRPr="00F55F51">
        <w:rPr>
          <w:b/>
        </w:rPr>
        <w:t xml:space="preserve">, </w:t>
      </w:r>
      <w:r w:rsidR="00F55F51" w:rsidRPr="00F55F51">
        <w:rPr>
          <w:b/>
        </w:rPr>
        <w:t>without further delay</w:t>
      </w:r>
      <w:r w:rsidR="00425713">
        <w:rPr>
          <w:b/>
        </w:rPr>
        <w:t>,</w:t>
      </w:r>
      <w:r w:rsidR="002706FB" w:rsidRPr="00F55F51">
        <w:rPr>
          <w:b/>
        </w:rPr>
        <w:t xml:space="preserve"> the </w:t>
      </w:r>
      <w:r w:rsidR="002706FB">
        <w:rPr>
          <w:b/>
        </w:rPr>
        <w:t xml:space="preserve">three </w:t>
      </w:r>
      <w:r w:rsidR="002706FB" w:rsidRPr="00F55F51">
        <w:rPr>
          <w:b/>
        </w:rPr>
        <w:t xml:space="preserve">vacant posts </w:t>
      </w:r>
      <w:r w:rsidR="002706FB">
        <w:rPr>
          <w:b/>
        </w:rPr>
        <w:t>of</w:t>
      </w:r>
      <w:r w:rsidR="00F55F51" w:rsidRPr="00F55F51">
        <w:rPr>
          <w:b/>
        </w:rPr>
        <w:t xml:space="preserve"> </w:t>
      </w:r>
      <w:r w:rsidR="00637E9E" w:rsidRPr="00F55F51">
        <w:rPr>
          <w:b/>
        </w:rPr>
        <w:t>deput</w:t>
      </w:r>
      <w:r w:rsidR="002706FB">
        <w:rPr>
          <w:b/>
        </w:rPr>
        <w:t>y</w:t>
      </w:r>
      <w:r w:rsidR="00637E9E" w:rsidRPr="00F55F51">
        <w:rPr>
          <w:b/>
        </w:rPr>
        <w:t xml:space="preserve"> </w:t>
      </w:r>
      <w:r w:rsidR="002706FB">
        <w:rPr>
          <w:b/>
        </w:rPr>
        <w:t>to</w:t>
      </w:r>
      <w:r w:rsidR="002706FB" w:rsidRPr="00F55F51">
        <w:rPr>
          <w:b/>
        </w:rPr>
        <w:t xml:space="preserve"> </w:t>
      </w:r>
      <w:r w:rsidR="00637E9E" w:rsidRPr="00F55F51">
        <w:rPr>
          <w:b/>
        </w:rPr>
        <w:t>the Ombudsma</w:t>
      </w:r>
      <w:r w:rsidR="002706FB">
        <w:rPr>
          <w:b/>
        </w:rPr>
        <w:t>n</w:t>
      </w:r>
      <w:r w:rsidR="00A67DA9" w:rsidRPr="00F55F51">
        <w:rPr>
          <w:b/>
        </w:rPr>
        <w:t>. It</w:t>
      </w:r>
      <w:r w:rsidR="00637E9E" w:rsidRPr="00F55F51">
        <w:rPr>
          <w:b/>
        </w:rPr>
        <w:t xml:space="preserve"> recommends that the State party ensure </w:t>
      </w:r>
      <w:r w:rsidR="00A67DA9" w:rsidRPr="00F55F51">
        <w:rPr>
          <w:b/>
        </w:rPr>
        <w:t xml:space="preserve">that </w:t>
      </w:r>
      <w:r w:rsidR="00637E9E" w:rsidRPr="00F55F51">
        <w:rPr>
          <w:b/>
        </w:rPr>
        <w:t>the</w:t>
      </w:r>
      <w:r w:rsidR="00AF0DA1" w:rsidRPr="00F55F51">
        <w:rPr>
          <w:b/>
        </w:rPr>
        <w:t xml:space="preserve"> draft </w:t>
      </w:r>
      <w:r w:rsidR="002706FB">
        <w:rPr>
          <w:b/>
        </w:rPr>
        <w:t>l</w:t>
      </w:r>
      <w:r w:rsidR="00ED3B64" w:rsidRPr="00F55F51">
        <w:rPr>
          <w:b/>
        </w:rPr>
        <w:t xml:space="preserve">aw on supplementing and amending </w:t>
      </w:r>
      <w:r w:rsidR="00D6733E" w:rsidRPr="00F55F51">
        <w:rPr>
          <w:b/>
        </w:rPr>
        <w:t xml:space="preserve">the Law on </w:t>
      </w:r>
      <w:r w:rsidR="00ED3B64" w:rsidRPr="00F55F51">
        <w:rPr>
          <w:b/>
        </w:rPr>
        <w:t xml:space="preserve">the </w:t>
      </w:r>
      <w:r w:rsidR="00D6733E" w:rsidRPr="00F55F51">
        <w:rPr>
          <w:b/>
        </w:rPr>
        <w:t xml:space="preserve">Ombudsman </w:t>
      </w:r>
      <w:r w:rsidR="00637E9E" w:rsidRPr="00F55F51">
        <w:rPr>
          <w:b/>
        </w:rPr>
        <w:t>is in line with the Paris Principles</w:t>
      </w:r>
      <w:r w:rsidR="00D16AA0" w:rsidRPr="00F55F51">
        <w:rPr>
          <w:b/>
        </w:rPr>
        <w:t>, taking into account</w:t>
      </w:r>
      <w:r w:rsidR="00AF0DA1" w:rsidRPr="00F55F51">
        <w:rPr>
          <w:b/>
        </w:rPr>
        <w:t xml:space="preserve"> the recommendations made by </w:t>
      </w:r>
      <w:r w:rsidR="00425713">
        <w:rPr>
          <w:b/>
        </w:rPr>
        <w:t xml:space="preserve">the </w:t>
      </w:r>
      <w:r w:rsidR="008B7332" w:rsidRPr="00E85591">
        <w:rPr>
          <w:b/>
          <w:lang w:eastAsia="ko-KR"/>
        </w:rPr>
        <w:t>Global Alliance</w:t>
      </w:r>
      <w:r w:rsidR="00812075" w:rsidRPr="002706FB">
        <w:rPr>
          <w:b/>
        </w:rPr>
        <w:t>,</w:t>
      </w:r>
      <w:r w:rsidR="00AF0DA1" w:rsidRPr="002706FB">
        <w:rPr>
          <w:b/>
        </w:rPr>
        <w:t xml:space="preserve"> </w:t>
      </w:r>
      <w:r w:rsidR="006760E3" w:rsidRPr="002706FB">
        <w:rPr>
          <w:b/>
        </w:rPr>
        <w:t>and</w:t>
      </w:r>
      <w:r w:rsidR="006760E3" w:rsidRPr="00F55F51">
        <w:rPr>
          <w:b/>
        </w:rPr>
        <w:t xml:space="preserve"> </w:t>
      </w:r>
      <w:r w:rsidR="00637E9E" w:rsidRPr="00F55F51">
        <w:rPr>
          <w:b/>
        </w:rPr>
        <w:t xml:space="preserve">expedite </w:t>
      </w:r>
      <w:r w:rsidR="00210B8D" w:rsidRPr="00F55F51">
        <w:rPr>
          <w:b/>
        </w:rPr>
        <w:t xml:space="preserve">its </w:t>
      </w:r>
      <w:r w:rsidR="006760E3" w:rsidRPr="00F55F51">
        <w:rPr>
          <w:b/>
        </w:rPr>
        <w:t xml:space="preserve">adoption. </w:t>
      </w:r>
      <w:r w:rsidR="00637E9E" w:rsidRPr="00F55F51">
        <w:rPr>
          <w:b/>
        </w:rPr>
        <w:t>It also</w:t>
      </w:r>
      <w:r w:rsidR="006760E3" w:rsidRPr="00F55F51">
        <w:rPr>
          <w:b/>
        </w:rPr>
        <w:t xml:space="preserve"> recommends that the State party </w:t>
      </w:r>
      <w:r w:rsidR="00637E9E" w:rsidRPr="00F55F51">
        <w:rPr>
          <w:b/>
        </w:rPr>
        <w:t>ensure that the Ombudsman</w:t>
      </w:r>
      <w:r w:rsidR="00A67DA9" w:rsidRPr="00F55F51">
        <w:rPr>
          <w:b/>
        </w:rPr>
        <w:t>’s</w:t>
      </w:r>
      <w:r w:rsidR="00637E9E" w:rsidRPr="00F55F51">
        <w:rPr>
          <w:b/>
        </w:rPr>
        <w:t xml:space="preserve"> </w:t>
      </w:r>
      <w:r w:rsidR="008F66E9">
        <w:rPr>
          <w:b/>
        </w:rPr>
        <w:t>O</w:t>
      </w:r>
      <w:r w:rsidR="00637E9E" w:rsidRPr="00F55F51">
        <w:rPr>
          <w:b/>
        </w:rPr>
        <w:t xml:space="preserve">ffice is provided </w:t>
      </w:r>
      <w:r w:rsidR="00A67DA9" w:rsidRPr="00F55F51">
        <w:rPr>
          <w:b/>
        </w:rPr>
        <w:t xml:space="preserve">with </w:t>
      </w:r>
      <w:r w:rsidR="006760E3" w:rsidRPr="00F55F51">
        <w:rPr>
          <w:b/>
        </w:rPr>
        <w:t xml:space="preserve">sufficient human and financial resources </w:t>
      </w:r>
      <w:r w:rsidR="00637E9E" w:rsidRPr="00F55F51">
        <w:rPr>
          <w:b/>
        </w:rPr>
        <w:t xml:space="preserve">and that </w:t>
      </w:r>
      <w:r w:rsidR="006760E3" w:rsidRPr="00F55F51">
        <w:rPr>
          <w:b/>
        </w:rPr>
        <w:t xml:space="preserve">the recommendations </w:t>
      </w:r>
      <w:r w:rsidR="00FC103E" w:rsidRPr="00F55F51">
        <w:rPr>
          <w:b/>
        </w:rPr>
        <w:t>of</w:t>
      </w:r>
      <w:r w:rsidR="006760E3" w:rsidRPr="00F55F51">
        <w:rPr>
          <w:b/>
        </w:rPr>
        <w:t xml:space="preserve"> </w:t>
      </w:r>
      <w:r w:rsidR="006760E3" w:rsidRPr="006760E3">
        <w:rPr>
          <w:b/>
        </w:rPr>
        <w:t xml:space="preserve">the Ombudsman are duly </w:t>
      </w:r>
      <w:r w:rsidR="00210B8D">
        <w:rPr>
          <w:b/>
        </w:rPr>
        <w:t>taken into account</w:t>
      </w:r>
      <w:r w:rsidR="00210B8D" w:rsidRPr="006760E3">
        <w:rPr>
          <w:b/>
        </w:rPr>
        <w:t xml:space="preserve"> </w:t>
      </w:r>
      <w:r w:rsidR="006760E3" w:rsidRPr="006760E3">
        <w:rPr>
          <w:b/>
        </w:rPr>
        <w:t xml:space="preserve">by </w:t>
      </w:r>
      <w:r w:rsidR="00210B8D">
        <w:rPr>
          <w:b/>
        </w:rPr>
        <w:t xml:space="preserve">the </w:t>
      </w:r>
      <w:r w:rsidR="006760E3" w:rsidRPr="006760E3">
        <w:rPr>
          <w:b/>
        </w:rPr>
        <w:t>relevant authorities and the result</w:t>
      </w:r>
      <w:r w:rsidR="00425713">
        <w:rPr>
          <w:b/>
        </w:rPr>
        <w:t>s</w:t>
      </w:r>
      <w:r w:rsidR="006760E3" w:rsidRPr="006760E3">
        <w:rPr>
          <w:b/>
        </w:rPr>
        <w:t xml:space="preserve"> reported back to the Ombudsman in a systematic manner.</w:t>
      </w:r>
    </w:p>
    <w:p w14:paraId="005C48F6" w14:textId="7C035022" w:rsidR="004259F0" w:rsidRPr="007C209B" w:rsidRDefault="004259F0" w:rsidP="002E4E24">
      <w:pPr>
        <w:pStyle w:val="H23G"/>
        <w:ind w:firstLine="0"/>
      </w:pPr>
      <w:r w:rsidRPr="007C209B">
        <w:t>Legal aid</w:t>
      </w:r>
    </w:p>
    <w:p w14:paraId="75E14429" w14:textId="4204CB5B" w:rsidR="0032331C" w:rsidRDefault="00306951" w:rsidP="00306951">
      <w:pPr>
        <w:pStyle w:val="SingleTxtG"/>
        <w:tabs>
          <w:tab w:val="left" w:pos="1701"/>
        </w:tabs>
      </w:pPr>
      <w:r>
        <w:t>13.</w:t>
      </w:r>
      <w:r>
        <w:tab/>
      </w:r>
      <w:r w:rsidR="0032331C">
        <w:t>The Committee is concerned at the</w:t>
      </w:r>
      <w:r w:rsidR="00C2224C">
        <w:t xml:space="preserve"> </w:t>
      </w:r>
      <w:r w:rsidR="00C2224C">
        <w:rPr>
          <w:rFonts w:hint="eastAsia"/>
          <w:lang w:eastAsia="ko-KR"/>
        </w:rPr>
        <w:t>low level of awareness of rights holders about their Covenant rights and the</w:t>
      </w:r>
      <w:r w:rsidR="0032331C">
        <w:t xml:space="preserve"> insufficient resources allocated to the legal aid programme</w:t>
      </w:r>
      <w:r w:rsidR="00812075">
        <w:t>s</w:t>
      </w:r>
      <w:r w:rsidR="00B84C51">
        <w:t xml:space="preserve">, and at the limited information provided to individuals </w:t>
      </w:r>
      <w:r w:rsidR="009317DF">
        <w:t>about their rights under the Law on Free Legal Aid</w:t>
      </w:r>
      <w:r w:rsidR="000E2E7D">
        <w:t>. It</w:t>
      </w:r>
      <w:r w:rsidR="0032331C">
        <w:t xml:space="preserve"> is also concerned that access to free legal aid is still very limited,</w:t>
      </w:r>
      <w:r w:rsidR="009317DF">
        <w:t xml:space="preserve"> particularly as a result of </w:t>
      </w:r>
      <w:r w:rsidR="008F66E9">
        <w:t>a</w:t>
      </w:r>
      <w:r w:rsidR="009317DF">
        <w:t>rticle 14</w:t>
      </w:r>
      <w:r w:rsidR="008F66E9">
        <w:t xml:space="preserve"> </w:t>
      </w:r>
      <w:r w:rsidR="009317DF">
        <w:t>(a) of the Law,</w:t>
      </w:r>
      <w:r w:rsidR="0032331C">
        <w:t xml:space="preserve"> making it difficult for disadvantaged and marginalized individuals to claim their economic</w:t>
      </w:r>
      <w:r w:rsidR="00A67DA9">
        <w:t>,</w:t>
      </w:r>
      <w:r w:rsidR="0032331C">
        <w:t xml:space="preserve"> social and cultural rights</w:t>
      </w:r>
      <w:r w:rsidR="00EF78FB">
        <w:t>.</w:t>
      </w:r>
    </w:p>
    <w:p w14:paraId="29F82352" w14:textId="0642BA45" w:rsidR="000E2E7D" w:rsidRPr="000E2E7D" w:rsidRDefault="00306951" w:rsidP="00306951">
      <w:pPr>
        <w:pStyle w:val="SingleTxtG"/>
        <w:tabs>
          <w:tab w:val="left" w:pos="1701"/>
        </w:tabs>
        <w:rPr>
          <w:rFonts w:eastAsia="Calibri"/>
          <w:b/>
        </w:rPr>
      </w:pPr>
      <w:proofErr w:type="gramStart"/>
      <w:r w:rsidRPr="000E2E7D">
        <w:rPr>
          <w:rFonts w:eastAsia="Calibri"/>
        </w:rPr>
        <w:t>14.</w:t>
      </w:r>
      <w:r w:rsidRPr="000E2E7D">
        <w:rPr>
          <w:rFonts w:eastAsia="Calibri"/>
        </w:rPr>
        <w:tab/>
      </w:r>
      <w:r w:rsidR="000E2E7D" w:rsidRPr="000E2E7D">
        <w:rPr>
          <w:b/>
        </w:rPr>
        <w:t xml:space="preserve">The Committee recommends that the State party </w:t>
      </w:r>
      <w:r w:rsidR="009E606A">
        <w:rPr>
          <w:b/>
        </w:rPr>
        <w:t>consider amending the Law on Free Legal Aid</w:t>
      </w:r>
      <w:r w:rsidR="008F66E9">
        <w:rPr>
          <w:b/>
        </w:rPr>
        <w:t xml:space="preserve"> </w:t>
      </w:r>
      <w:r w:rsidR="009E606A">
        <w:rPr>
          <w:b/>
        </w:rPr>
        <w:t xml:space="preserve">in order to </w:t>
      </w:r>
      <w:r w:rsidR="00BC5E01">
        <w:rPr>
          <w:b/>
        </w:rPr>
        <w:t xml:space="preserve">ensure </w:t>
      </w:r>
      <w:r w:rsidR="000E2E7D" w:rsidRPr="000E2E7D">
        <w:rPr>
          <w:b/>
        </w:rPr>
        <w:t xml:space="preserve">that </w:t>
      </w:r>
      <w:r w:rsidR="00C2224C">
        <w:rPr>
          <w:rFonts w:hint="eastAsia"/>
          <w:b/>
          <w:lang w:eastAsia="ko-KR"/>
        </w:rPr>
        <w:t>all peopl</w:t>
      </w:r>
      <w:r w:rsidR="008F66E9">
        <w:rPr>
          <w:b/>
          <w:lang w:eastAsia="ko-KR"/>
        </w:rPr>
        <w:t>e</w:t>
      </w:r>
      <w:r w:rsidR="00C2224C">
        <w:rPr>
          <w:rFonts w:hint="eastAsia"/>
          <w:b/>
          <w:lang w:eastAsia="ko-KR"/>
        </w:rPr>
        <w:t xml:space="preserve">, including </w:t>
      </w:r>
      <w:r w:rsidR="000E2E7D" w:rsidRPr="000E2E7D">
        <w:rPr>
          <w:b/>
        </w:rPr>
        <w:t xml:space="preserve">disadvantaged and marginalized individuals, </w:t>
      </w:r>
      <w:r w:rsidR="00C2224C">
        <w:rPr>
          <w:b/>
        </w:rPr>
        <w:t>particularly</w:t>
      </w:r>
      <w:r w:rsidR="009E606A" w:rsidRPr="000E2E7D">
        <w:rPr>
          <w:b/>
        </w:rPr>
        <w:t xml:space="preserve"> </w:t>
      </w:r>
      <w:r w:rsidR="000E2E7D" w:rsidRPr="000E2E7D">
        <w:rPr>
          <w:b/>
        </w:rPr>
        <w:t>women, Roma, people living in rural areas, migrants and asylum</w:t>
      </w:r>
      <w:r w:rsidR="008F66E9">
        <w:rPr>
          <w:b/>
        </w:rPr>
        <w:t xml:space="preserve"> </w:t>
      </w:r>
      <w:r w:rsidR="000E2E7D" w:rsidRPr="000E2E7D">
        <w:rPr>
          <w:b/>
        </w:rPr>
        <w:t>seekers, are able to claim their economic, social and cultural rights</w:t>
      </w:r>
      <w:r w:rsidR="00044A55">
        <w:rPr>
          <w:b/>
        </w:rPr>
        <w:t xml:space="preserve"> with professional assistance</w:t>
      </w:r>
      <w:r w:rsidR="00BC5E01">
        <w:rPr>
          <w:b/>
        </w:rPr>
        <w:t xml:space="preserve"> and that it </w:t>
      </w:r>
      <w:r w:rsidR="00BC5E01" w:rsidRPr="000E2E7D">
        <w:rPr>
          <w:b/>
        </w:rPr>
        <w:t xml:space="preserve">allocate sufficient resources to the </w:t>
      </w:r>
      <w:r w:rsidR="00BC5E01">
        <w:rPr>
          <w:b/>
        </w:rPr>
        <w:t>legal aid p</w:t>
      </w:r>
      <w:r w:rsidR="00BC5E01" w:rsidRPr="000E2E7D">
        <w:rPr>
          <w:b/>
        </w:rPr>
        <w:t>rogramme</w:t>
      </w:r>
      <w:r w:rsidR="00BC5E01">
        <w:rPr>
          <w:b/>
        </w:rPr>
        <w:t>s</w:t>
      </w:r>
      <w:r w:rsidR="000E2E7D">
        <w:rPr>
          <w:b/>
        </w:rPr>
        <w:t>.</w:t>
      </w:r>
      <w:proofErr w:type="gramEnd"/>
      <w:r w:rsidR="008F66E9">
        <w:rPr>
          <w:b/>
        </w:rPr>
        <w:t xml:space="preserve"> </w:t>
      </w:r>
    </w:p>
    <w:p w14:paraId="507B3877" w14:textId="6830D0A0" w:rsidR="00221861" w:rsidRPr="00B66884" w:rsidRDefault="00221861" w:rsidP="002E4E24">
      <w:pPr>
        <w:pStyle w:val="H23G"/>
        <w:ind w:firstLine="0"/>
      </w:pPr>
      <w:r w:rsidRPr="007C209B">
        <w:t xml:space="preserve">Maximum available resources </w:t>
      </w:r>
    </w:p>
    <w:p w14:paraId="45A94E44" w14:textId="48F09E7D" w:rsidR="00F7573A" w:rsidRDefault="00306951" w:rsidP="00306951">
      <w:pPr>
        <w:pStyle w:val="SingleTxtG"/>
        <w:tabs>
          <w:tab w:val="left" w:pos="1701"/>
        </w:tabs>
      </w:pPr>
      <w:r>
        <w:t>15.</w:t>
      </w:r>
      <w:r>
        <w:tab/>
      </w:r>
      <w:r w:rsidR="00541F46">
        <w:t>T</w:t>
      </w:r>
      <w:r w:rsidR="0046339A">
        <w:t>he Committee is concerned</w:t>
      </w:r>
      <w:r w:rsidR="000E2E7D">
        <w:t xml:space="preserve"> at the </w:t>
      </w:r>
      <w:r w:rsidR="00D16AA0">
        <w:t>overall</w:t>
      </w:r>
      <w:r w:rsidR="000E2E7D">
        <w:t xml:space="preserve"> low level of public funding allocat</w:t>
      </w:r>
      <w:r w:rsidR="0046339A">
        <w:t xml:space="preserve">ed </w:t>
      </w:r>
      <w:r w:rsidR="000E2E7D">
        <w:t>to</w:t>
      </w:r>
      <w:r w:rsidR="0046339A">
        <w:t xml:space="preserve"> the areas</w:t>
      </w:r>
      <w:r w:rsidR="0025639B">
        <w:t xml:space="preserve"> </w:t>
      </w:r>
      <w:r w:rsidR="000E2E7D">
        <w:t>relating to</w:t>
      </w:r>
      <w:r w:rsidR="0025639B">
        <w:t xml:space="preserve"> economic, social and cultural</w:t>
      </w:r>
      <w:r w:rsidR="0046339A">
        <w:t xml:space="preserve"> rights</w:t>
      </w:r>
      <w:r w:rsidR="00541F46">
        <w:t xml:space="preserve">. </w:t>
      </w:r>
      <w:r w:rsidR="000E2E7D">
        <w:t>It</w:t>
      </w:r>
      <w:r w:rsidR="00541F46">
        <w:t xml:space="preserve"> </w:t>
      </w:r>
      <w:r w:rsidR="009B22BF">
        <w:t xml:space="preserve">is also concerned </w:t>
      </w:r>
      <w:r w:rsidR="00F7573A">
        <w:t xml:space="preserve">that </w:t>
      </w:r>
      <w:r w:rsidR="00E869C5">
        <w:t xml:space="preserve">some decisions concerning </w:t>
      </w:r>
      <w:r w:rsidR="00F7573A">
        <w:t xml:space="preserve">resource allocation </w:t>
      </w:r>
      <w:r w:rsidR="00C55A74">
        <w:t>have not been</w:t>
      </w:r>
      <w:r w:rsidR="00F7573A">
        <w:t xml:space="preserve"> transparen</w:t>
      </w:r>
      <w:r w:rsidR="00E23D60">
        <w:t>t</w:t>
      </w:r>
      <w:r w:rsidR="00F7573A">
        <w:t xml:space="preserve"> </w:t>
      </w:r>
      <w:r w:rsidR="000E2E7D">
        <w:t xml:space="preserve">and </w:t>
      </w:r>
      <w:r w:rsidR="00C55A74">
        <w:t>have not prioritized the duties of the State party under the Covenant</w:t>
      </w:r>
      <w:r w:rsidR="00A106A1">
        <w:t xml:space="preserve"> </w:t>
      </w:r>
      <w:r w:rsidR="0025639B" w:rsidRPr="006467B5">
        <w:t>(</w:t>
      </w:r>
      <w:r w:rsidR="0025639B">
        <w:t>a</w:t>
      </w:r>
      <w:r w:rsidR="0025639B" w:rsidRPr="006467B5">
        <w:t>rt. 2</w:t>
      </w:r>
      <w:r w:rsidR="0025639B">
        <w:t xml:space="preserve"> </w:t>
      </w:r>
      <w:r w:rsidR="0025639B" w:rsidRPr="006467B5">
        <w:t>(1))</w:t>
      </w:r>
      <w:r w:rsidR="001C4B16">
        <w:t>.</w:t>
      </w:r>
    </w:p>
    <w:p w14:paraId="2963C7F9" w14:textId="51FD0ECE" w:rsidR="00872F91" w:rsidRPr="00822B67" w:rsidRDefault="00306951" w:rsidP="00306951">
      <w:pPr>
        <w:pStyle w:val="SingleTxtG"/>
        <w:tabs>
          <w:tab w:val="left" w:pos="1701"/>
        </w:tabs>
        <w:rPr>
          <w:rFonts w:eastAsia="Times New Roman"/>
          <w:b/>
        </w:rPr>
      </w:pPr>
      <w:r w:rsidRPr="00822B67">
        <w:rPr>
          <w:rFonts w:eastAsia="Times New Roman"/>
        </w:rPr>
        <w:t>16.</w:t>
      </w:r>
      <w:r w:rsidRPr="00822B67">
        <w:rPr>
          <w:rFonts w:eastAsia="Times New Roman"/>
        </w:rPr>
        <w:tab/>
      </w:r>
      <w:r w:rsidR="00A106A1" w:rsidRPr="00822B67">
        <w:rPr>
          <w:b/>
        </w:rPr>
        <w:t xml:space="preserve">The Committee </w:t>
      </w:r>
      <w:r w:rsidR="000753CC" w:rsidRPr="00822B67">
        <w:rPr>
          <w:b/>
        </w:rPr>
        <w:t>recommends that the State party</w:t>
      </w:r>
      <w:r w:rsidR="00884243" w:rsidRPr="00822B67">
        <w:rPr>
          <w:b/>
        </w:rPr>
        <w:t xml:space="preserve"> </w:t>
      </w:r>
      <w:r w:rsidR="001C4B16" w:rsidRPr="00822B67">
        <w:rPr>
          <w:b/>
        </w:rPr>
        <w:t>intensify its efforts to</w:t>
      </w:r>
      <w:r w:rsidR="00322BE7" w:rsidRPr="00822B67">
        <w:rPr>
          <w:b/>
        </w:rPr>
        <w:t xml:space="preserve"> i</w:t>
      </w:r>
      <w:r w:rsidR="001C4B16" w:rsidRPr="00822B67">
        <w:rPr>
          <w:b/>
        </w:rPr>
        <w:t>ncrease the level of public spending</w:t>
      </w:r>
      <w:r w:rsidR="00DA1E04" w:rsidRPr="00822B67">
        <w:rPr>
          <w:b/>
        </w:rPr>
        <w:t>, at both the national and municipal level</w:t>
      </w:r>
      <w:r w:rsidR="00CC1612" w:rsidRPr="00822B67">
        <w:rPr>
          <w:b/>
        </w:rPr>
        <w:t>s</w:t>
      </w:r>
      <w:r w:rsidR="00DA1E04" w:rsidRPr="00822B67">
        <w:rPr>
          <w:b/>
        </w:rPr>
        <w:t xml:space="preserve">, </w:t>
      </w:r>
      <w:r w:rsidR="00A106A1" w:rsidRPr="00822B67">
        <w:rPr>
          <w:b/>
        </w:rPr>
        <w:t xml:space="preserve">in order </w:t>
      </w:r>
      <w:r w:rsidR="00DA1E04" w:rsidRPr="00822B67">
        <w:rPr>
          <w:b/>
        </w:rPr>
        <w:t>to ensure the progressive realization of economic, social and cultural rights</w:t>
      </w:r>
      <w:r w:rsidR="00822B67" w:rsidRPr="00822B67">
        <w:rPr>
          <w:b/>
        </w:rPr>
        <w:t>. It also recommends that the State party</w:t>
      </w:r>
      <w:r w:rsidR="00822B67">
        <w:rPr>
          <w:b/>
        </w:rPr>
        <w:t xml:space="preserve"> take </w:t>
      </w:r>
      <w:r w:rsidR="007B740F">
        <w:rPr>
          <w:b/>
        </w:rPr>
        <w:t xml:space="preserve">all </w:t>
      </w:r>
      <w:r w:rsidR="00822B67">
        <w:rPr>
          <w:b/>
        </w:rPr>
        <w:t>measures necessary to e</w:t>
      </w:r>
      <w:r w:rsidR="000A1360" w:rsidRPr="00822B67">
        <w:rPr>
          <w:b/>
        </w:rPr>
        <w:t xml:space="preserve">nsure that </w:t>
      </w:r>
      <w:r w:rsidR="008F66E9">
        <w:rPr>
          <w:b/>
        </w:rPr>
        <w:t xml:space="preserve">the </w:t>
      </w:r>
      <w:r w:rsidR="000A1360" w:rsidRPr="00822B67">
        <w:rPr>
          <w:b/>
        </w:rPr>
        <w:t xml:space="preserve">planning and </w:t>
      </w:r>
      <w:r w:rsidR="008F63C2" w:rsidRPr="00822B67">
        <w:rPr>
          <w:b/>
        </w:rPr>
        <w:t xml:space="preserve">spending </w:t>
      </w:r>
      <w:r w:rsidR="000A1360" w:rsidRPr="00822B67">
        <w:rPr>
          <w:b/>
        </w:rPr>
        <w:t xml:space="preserve">of public </w:t>
      </w:r>
      <w:r w:rsidR="007604A4" w:rsidRPr="00822B67">
        <w:rPr>
          <w:b/>
        </w:rPr>
        <w:t xml:space="preserve">funds </w:t>
      </w:r>
      <w:proofErr w:type="gramStart"/>
      <w:r w:rsidR="007604A4" w:rsidRPr="00822B67">
        <w:rPr>
          <w:b/>
        </w:rPr>
        <w:t>i</w:t>
      </w:r>
      <w:r w:rsidR="000A1360" w:rsidRPr="00822B67">
        <w:rPr>
          <w:b/>
        </w:rPr>
        <w:t>s</w:t>
      </w:r>
      <w:r w:rsidR="007604A4" w:rsidRPr="00822B67">
        <w:rPr>
          <w:b/>
        </w:rPr>
        <w:t xml:space="preserve"> </w:t>
      </w:r>
      <w:r w:rsidR="000A1360" w:rsidRPr="00822B67">
        <w:rPr>
          <w:b/>
        </w:rPr>
        <w:t>carried out</w:t>
      </w:r>
      <w:proofErr w:type="gramEnd"/>
      <w:r w:rsidR="000A1360" w:rsidRPr="00822B67">
        <w:rPr>
          <w:b/>
        </w:rPr>
        <w:t xml:space="preserve"> in a transparent manner</w:t>
      </w:r>
      <w:r w:rsidR="00EF78FB">
        <w:rPr>
          <w:b/>
        </w:rPr>
        <w:t>.</w:t>
      </w:r>
    </w:p>
    <w:p w14:paraId="2CBEF32E" w14:textId="23FD9B66" w:rsidR="00322BE7" w:rsidRPr="00322BE7" w:rsidRDefault="00322BE7" w:rsidP="00322BE7">
      <w:pPr>
        <w:pStyle w:val="H23G"/>
        <w:ind w:firstLine="0"/>
      </w:pPr>
      <w:r>
        <w:rPr>
          <w:rFonts w:hint="eastAsia"/>
        </w:rPr>
        <w:t>Corruption</w:t>
      </w:r>
    </w:p>
    <w:p w14:paraId="3483F418" w14:textId="22F58100" w:rsidR="00322BE7" w:rsidRDefault="00306951" w:rsidP="00306951">
      <w:pPr>
        <w:pStyle w:val="SingleTxtG"/>
        <w:tabs>
          <w:tab w:val="left" w:pos="1701"/>
        </w:tabs>
      </w:pPr>
      <w:r>
        <w:t>17.</w:t>
      </w:r>
      <w:r>
        <w:tab/>
      </w:r>
      <w:r w:rsidR="00322BE7">
        <w:rPr>
          <w:rFonts w:hint="eastAsia"/>
          <w:lang w:eastAsia="ko-KR"/>
        </w:rPr>
        <w:t>The Committee</w:t>
      </w:r>
      <w:r w:rsidR="00322BE7" w:rsidRPr="006467B5">
        <w:t xml:space="preserve"> is concerned </w:t>
      </w:r>
      <w:r w:rsidR="00322BE7">
        <w:t xml:space="preserve">at the pervasive </w:t>
      </w:r>
      <w:r w:rsidR="00322BE7" w:rsidRPr="009B0B36">
        <w:t>practice of bribery</w:t>
      </w:r>
      <w:r w:rsidR="00322BE7">
        <w:t xml:space="preserve"> for the provision of goods or services </w:t>
      </w:r>
      <w:r w:rsidR="008F66E9">
        <w:t xml:space="preserve">required to </w:t>
      </w:r>
      <w:r w:rsidR="00322BE7">
        <w:t>fulfil economic and social rights and at the low number of prosecutions on the basis of the Law on Prevention of Corruption</w:t>
      </w:r>
      <w:r w:rsidR="008F66E9">
        <w:t xml:space="preserve"> of 2002</w:t>
      </w:r>
      <w:r w:rsidR="00322BE7">
        <w:t xml:space="preserve">, particularly in cases involving high-level officials </w:t>
      </w:r>
      <w:r w:rsidR="00322BE7" w:rsidRPr="006467B5">
        <w:t>(</w:t>
      </w:r>
      <w:r w:rsidR="00322BE7">
        <w:t>a</w:t>
      </w:r>
      <w:r w:rsidR="00322BE7" w:rsidRPr="006467B5">
        <w:t>rt. 2</w:t>
      </w:r>
      <w:r w:rsidR="00322BE7">
        <w:t xml:space="preserve"> </w:t>
      </w:r>
      <w:r w:rsidR="00322BE7" w:rsidRPr="006467B5">
        <w:t>(1))</w:t>
      </w:r>
      <w:r w:rsidR="00322BE7">
        <w:t>.</w:t>
      </w:r>
    </w:p>
    <w:p w14:paraId="45380207" w14:textId="3F62999E" w:rsidR="00322BE7" w:rsidRDefault="00306951" w:rsidP="00306951">
      <w:pPr>
        <w:pStyle w:val="SingleTxtG"/>
        <w:tabs>
          <w:tab w:val="left" w:pos="1701"/>
        </w:tabs>
      </w:pPr>
      <w:r>
        <w:t>18.</w:t>
      </w:r>
      <w:r>
        <w:tab/>
      </w:r>
      <w:r w:rsidR="00322BE7">
        <w:rPr>
          <w:b/>
          <w:lang w:eastAsia="ko-KR"/>
        </w:rPr>
        <w:t>T</w:t>
      </w:r>
      <w:r w:rsidR="00322BE7">
        <w:rPr>
          <w:rFonts w:hint="eastAsia"/>
          <w:b/>
          <w:lang w:eastAsia="ko-KR"/>
        </w:rPr>
        <w:t xml:space="preserve">he Committee recommends that the State party take </w:t>
      </w:r>
      <w:r w:rsidR="007B740F">
        <w:rPr>
          <w:b/>
          <w:lang w:eastAsia="ko-KR"/>
        </w:rPr>
        <w:t>all</w:t>
      </w:r>
      <w:r w:rsidR="007B740F">
        <w:rPr>
          <w:rFonts w:hint="eastAsia"/>
          <w:b/>
          <w:lang w:eastAsia="ko-KR"/>
        </w:rPr>
        <w:t xml:space="preserve"> </w:t>
      </w:r>
      <w:r w:rsidR="00322BE7">
        <w:rPr>
          <w:rFonts w:hint="eastAsia"/>
          <w:b/>
          <w:lang w:eastAsia="ko-KR"/>
        </w:rPr>
        <w:t>necessary measures to:</w:t>
      </w:r>
    </w:p>
    <w:p w14:paraId="10B2A10F" w14:textId="19768554" w:rsidR="00322BE7" w:rsidRDefault="00306951" w:rsidP="00306951">
      <w:pPr>
        <w:pStyle w:val="SingleTxtG"/>
        <w:tabs>
          <w:tab w:val="left" w:pos="1701"/>
        </w:tabs>
        <w:ind w:firstLine="567"/>
        <w:rPr>
          <w:rFonts w:eastAsia="Times New Roman"/>
          <w:b/>
          <w:lang w:eastAsia="fr-FR"/>
        </w:rPr>
      </w:pPr>
      <w:r w:rsidRPr="00D46DDC">
        <w:rPr>
          <w:rFonts w:eastAsia="Times New Roman"/>
          <w:lang w:eastAsia="fr-FR"/>
        </w:rPr>
        <w:t>(a)</w:t>
      </w:r>
      <w:r>
        <w:rPr>
          <w:rFonts w:eastAsia="Times New Roman"/>
          <w:b/>
          <w:lang w:eastAsia="fr-FR"/>
        </w:rPr>
        <w:tab/>
      </w:r>
      <w:r w:rsidR="00322BE7">
        <w:rPr>
          <w:b/>
        </w:rPr>
        <w:t xml:space="preserve">Combat corruption, including </w:t>
      </w:r>
      <w:r w:rsidR="008F66E9">
        <w:rPr>
          <w:b/>
        </w:rPr>
        <w:t xml:space="preserve">by </w:t>
      </w:r>
      <w:r w:rsidR="00322BE7">
        <w:rPr>
          <w:b/>
        </w:rPr>
        <w:t xml:space="preserve">improving </w:t>
      </w:r>
      <w:r w:rsidR="00322BE7" w:rsidRPr="00057F02">
        <w:rPr>
          <w:rFonts w:eastAsia="Batang"/>
          <w:b/>
        </w:rPr>
        <w:t>public governance and ensur</w:t>
      </w:r>
      <w:r w:rsidR="00322BE7">
        <w:rPr>
          <w:rFonts w:eastAsia="Batang"/>
          <w:b/>
        </w:rPr>
        <w:t>ing</w:t>
      </w:r>
      <w:r w:rsidR="00322BE7" w:rsidRPr="00057F02">
        <w:rPr>
          <w:rFonts w:eastAsia="Batang"/>
          <w:b/>
        </w:rPr>
        <w:t xml:space="preserve"> transparency in the conduct of public affairs</w:t>
      </w:r>
      <w:r w:rsidR="00322BE7">
        <w:rPr>
          <w:rFonts w:eastAsia="Batang"/>
          <w:b/>
        </w:rPr>
        <w:t xml:space="preserve"> and raising awareness of public and </w:t>
      </w:r>
      <w:r w:rsidR="00322BE7">
        <w:rPr>
          <w:rFonts w:eastAsia="Batang" w:hint="eastAsia"/>
          <w:b/>
          <w:lang w:eastAsia="ko-KR"/>
        </w:rPr>
        <w:t>government</w:t>
      </w:r>
      <w:r w:rsidR="00322BE7">
        <w:rPr>
          <w:rFonts w:eastAsia="Batang"/>
          <w:b/>
        </w:rPr>
        <w:t xml:space="preserve"> officials on anti-corruption measures</w:t>
      </w:r>
      <w:r w:rsidR="008F66E9">
        <w:rPr>
          <w:rFonts w:eastAsia="Batang"/>
          <w:b/>
        </w:rPr>
        <w:t>,</w:t>
      </w:r>
      <w:r w:rsidR="00322BE7">
        <w:rPr>
          <w:rFonts w:eastAsia="Batang"/>
          <w:b/>
        </w:rPr>
        <w:t xml:space="preserve"> as well as about </w:t>
      </w:r>
      <w:r w:rsidR="00322BE7" w:rsidRPr="00057F02">
        <w:rPr>
          <w:rFonts w:eastAsia="Batang"/>
          <w:b/>
          <w:bCs/>
        </w:rPr>
        <w:t xml:space="preserve">the unacceptability of </w:t>
      </w:r>
      <w:r w:rsidR="00322BE7" w:rsidRPr="00057F02">
        <w:rPr>
          <w:rFonts w:eastAsia="Times New Roman"/>
          <w:b/>
          <w:lang w:eastAsia="fr-FR"/>
        </w:rPr>
        <w:t>bribery</w:t>
      </w:r>
      <w:r w:rsidR="00322BE7">
        <w:rPr>
          <w:rFonts w:eastAsia="Times New Roman"/>
          <w:b/>
          <w:lang w:eastAsia="fr-FR"/>
        </w:rPr>
        <w:t>;</w:t>
      </w:r>
    </w:p>
    <w:p w14:paraId="2FD9801C" w14:textId="6CD3FB50" w:rsidR="00322BE7" w:rsidRDefault="00306951" w:rsidP="00306951">
      <w:pPr>
        <w:pStyle w:val="SingleTxtG"/>
        <w:tabs>
          <w:tab w:val="left" w:pos="1701"/>
        </w:tabs>
        <w:ind w:firstLine="567"/>
        <w:rPr>
          <w:rFonts w:eastAsia="Times New Roman"/>
          <w:b/>
          <w:lang w:eastAsia="fr-FR"/>
        </w:rPr>
      </w:pPr>
      <w:r w:rsidRPr="00D46DDC">
        <w:rPr>
          <w:rFonts w:eastAsia="Times New Roman"/>
          <w:lang w:eastAsia="fr-FR"/>
        </w:rPr>
        <w:t>(b)</w:t>
      </w:r>
      <w:r>
        <w:rPr>
          <w:rFonts w:eastAsia="Times New Roman"/>
          <w:b/>
          <w:lang w:eastAsia="fr-FR"/>
        </w:rPr>
        <w:tab/>
      </w:r>
      <w:r w:rsidR="00322BE7">
        <w:rPr>
          <w:rFonts w:eastAsia="Times New Roman"/>
          <w:b/>
          <w:lang w:eastAsia="fr-FR"/>
        </w:rPr>
        <w:t>Strengthen the enforcement of the Law on Prevention of Corruption and combat impunit</w:t>
      </w:r>
      <w:r w:rsidR="008F66E9">
        <w:rPr>
          <w:rFonts w:eastAsia="Times New Roman"/>
          <w:b/>
          <w:lang w:eastAsia="fr-FR"/>
        </w:rPr>
        <w:t>y</w:t>
      </w:r>
      <w:r w:rsidR="00322BE7">
        <w:rPr>
          <w:rFonts w:eastAsia="Times New Roman"/>
          <w:b/>
          <w:lang w:eastAsia="fr-FR"/>
        </w:rPr>
        <w:t xml:space="preserve"> for corruption, particularly involving high-level officials; </w:t>
      </w:r>
    </w:p>
    <w:p w14:paraId="6DDCFAED" w14:textId="5ADE1200" w:rsidR="00322BE7" w:rsidRDefault="00306951" w:rsidP="00306951">
      <w:pPr>
        <w:pStyle w:val="SingleTxtG"/>
        <w:tabs>
          <w:tab w:val="left" w:pos="1701"/>
        </w:tabs>
        <w:ind w:firstLine="567"/>
        <w:rPr>
          <w:b/>
        </w:rPr>
      </w:pPr>
      <w:r w:rsidRPr="00D46DDC">
        <w:t>(c)</w:t>
      </w:r>
      <w:r>
        <w:rPr>
          <w:b/>
        </w:rPr>
        <w:tab/>
      </w:r>
      <w:r w:rsidR="00322BE7">
        <w:rPr>
          <w:b/>
        </w:rPr>
        <w:t>Enhance</w:t>
      </w:r>
      <w:r w:rsidR="00322BE7" w:rsidRPr="00057F02">
        <w:rPr>
          <w:b/>
        </w:rPr>
        <w:t xml:space="preserve"> the independence and functioning of the </w:t>
      </w:r>
      <w:r w:rsidR="00322BE7" w:rsidRPr="00057F02">
        <w:rPr>
          <w:rFonts w:eastAsia="Times New Roman"/>
          <w:b/>
        </w:rPr>
        <w:t>State Commission for Prevention of Corruption.</w:t>
      </w:r>
    </w:p>
    <w:p w14:paraId="633AA26B" w14:textId="25376F8B" w:rsidR="009D3B03" w:rsidRPr="007C209B" w:rsidRDefault="009D3B03" w:rsidP="002E4E24">
      <w:pPr>
        <w:pStyle w:val="H23G"/>
        <w:ind w:firstLine="0"/>
      </w:pPr>
      <w:r>
        <w:t>Non-discrimination</w:t>
      </w:r>
      <w:r w:rsidRPr="007C209B">
        <w:t xml:space="preserve"> </w:t>
      </w:r>
    </w:p>
    <w:p w14:paraId="6C8852D1" w14:textId="0271E9E6" w:rsidR="0089443D" w:rsidRPr="0089443D" w:rsidRDefault="00306951" w:rsidP="00306951">
      <w:pPr>
        <w:pStyle w:val="SingleTxtG"/>
        <w:tabs>
          <w:tab w:val="left" w:pos="1701"/>
        </w:tabs>
      </w:pPr>
      <w:r w:rsidRPr="0089443D">
        <w:t>19.</w:t>
      </w:r>
      <w:r w:rsidRPr="0089443D">
        <w:tab/>
      </w:r>
      <w:r w:rsidR="002830FE">
        <w:t xml:space="preserve">The Committee welcomes </w:t>
      </w:r>
      <w:r w:rsidR="003F4DB7">
        <w:t xml:space="preserve">the evaluation carried out by the State party on the implementation of the </w:t>
      </w:r>
      <w:r w:rsidR="003F4DB7" w:rsidRPr="0089443D">
        <w:t xml:space="preserve">Law on </w:t>
      </w:r>
      <w:r w:rsidR="00425713">
        <w:t>Prevention of and Protection against Discrimination</w:t>
      </w:r>
      <w:r w:rsidR="002830FE">
        <w:t>. The Committee</w:t>
      </w:r>
      <w:r w:rsidR="00FC103E">
        <w:t xml:space="preserve"> </w:t>
      </w:r>
      <w:r w:rsidR="00FC103E" w:rsidRPr="00822B67">
        <w:t>is</w:t>
      </w:r>
      <w:r w:rsidR="009250CB" w:rsidRPr="00822B67">
        <w:t xml:space="preserve"> </w:t>
      </w:r>
      <w:r w:rsidR="0089443D" w:rsidRPr="00822B67">
        <w:t>concerned</w:t>
      </w:r>
      <w:r w:rsidR="009250CB" w:rsidRPr="00822B67">
        <w:t>, however,</w:t>
      </w:r>
      <w:r w:rsidR="0089443D" w:rsidRPr="00822B67">
        <w:t xml:space="preserve"> </w:t>
      </w:r>
      <w:r w:rsidR="002830FE" w:rsidRPr="00822B67">
        <w:t xml:space="preserve">that there are some gaps in </w:t>
      </w:r>
      <w:r w:rsidR="006067AA" w:rsidRPr="00822B67">
        <w:t xml:space="preserve">the </w:t>
      </w:r>
      <w:r w:rsidR="002830FE" w:rsidRPr="00822B67">
        <w:t>Law</w:t>
      </w:r>
      <w:r w:rsidR="0089443D" w:rsidRPr="00822B67">
        <w:t xml:space="preserve">, </w:t>
      </w:r>
      <w:r w:rsidR="003F4DB7" w:rsidRPr="00822B67">
        <w:t>particularly</w:t>
      </w:r>
      <w:r w:rsidR="0089443D" w:rsidRPr="00822B67">
        <w:t xml:space="preserve"> as regards the definition of discrimination, grounds of discrimination, burden of proof and the use of statistics to prove the existence of indirect </w:t>
      </w:r>
      <w:r w:rsidR="0089443D" w:rsidRPr="0089443D">
        <w:t>discrimination</w:t>
      </w:r>
      <w:r w:rsidR="004362E8">
        <w:t>.</w:t>
      </w:r>
      <w:r w:rsidR="002830FE">
        <w:t xml:space="preserve"> It is also concerned </w:t>
      </w:r>
      <w:r w:rsidR="0089443D" w:rsidRPr="0089443D">
        <w:t>at</w:t>
      </w:r>
      <w:r w:rsidR="00872F91">
        <w:t xml:space="preserve"> the lack of independence and</w:t>
      </w:r>
      <w:r w:rsidR="0089443D" w:rsidRPr="0089443D">
        <w:t xml:space="preserve"> the ineffective functioning of the Commission for </w:t>
      </w:r>
      <w:r w:rsidR="00425713">
        <w:t>Prevention of and Protection against Discrimination</w:t>
      </w:r>
      <w:r w:rsidR="007B16E9">
        <w:t xml:space="preserve"> </w:t>
      </w:r>
      <w:r w:rsidR="007B16E9" w:rsidRPr="006467B5">
        <w:t>(</w:t>
      </w:r>
      <w:r w:rsidR="007B16E9">
        <w:t>a</w:t>
      </w:r>
      <w:r w:rsidR="007B16E9" w:rsidRPr="006467B5">
        <w:t>rt. 2</w:t>
      </w:r>
      <w:r w:rsidR="007B16E9">
        <w:t xml:space="preserve"> </w:t>
      </w:r>
      <w:r w:rsidR="007B16E9" w:rsidRPr="006467B5">
        <w:t>(</w:t>
      </w:r>
      <w:r w:rsidR="007B16E9">
        <w:t>2</w:t>
      </w:r>
      <w:r w:rsidR="007B16E9" w:rsidRPr="006467B5">
        <w:t>))</w:t>
      </w:r>
      <w:r w:rsidR="0089443D" w:rsidRPr="0089443D">
        <w:t>.</w:t>
      </w:r>
    </w:p>
    <w:p w14:paraId="1C80B15D" w14:textId="5497E7A4" w:rsidR="00872F91" w:rsidRDefault="00306951" w:rsidP="00306951">
      <w:pPr>
        <w:pStyle w:val="SingleTxtG"/>
        <w:tabs>
          <w:tab w:val="left" w:pos="1701"/>
        </w:tabs>
        <w:rPr>
          <w:b/>
        </w:rPr>
      </w:pPr>
      <w:r>
        <w:t>20.</w:t>
      </w:r>
      <w:r>
        <w:tab/>
      </w:r>
      <w:r w:rsidR="0089443D" w:rsidRPr="0089443D">
        <w:rPr>
          <w:b/>
        </w:rPr>
        <w:t>The Committee recommends that the State party take all measures necessary to follow up on the recommendations contained in the final report on the ex</w:t>
      </w:r>
      <w:r w:rsidR="00C87FDE">
        <w:rPr>
          <w:b/>
        </w:rPr>
        <w:t xml:space="preserve"> </w:t>
      </w:r>
      <w:r w:rsidR="0089443D" w:rsidRPr="0089443D">
        <w:rPr>
          <w:b/>
        </w:rPr>
        <w:t xml:space="preserve">post evaluation of the implementation of the Law on </w:t>
      </w:r>
      <w:r w:rsidR="00425713">
        <w:rPr>
          <w:b/>
        </w:rPr>
        <w:t>Prevention of and Protection against Discrimination</w:t>
      </w:r>
      <w:r w:rsidR="00872F91">
        <w:rPr>
          <w:b/>
        </w:rPr>
        <w:t>. In particular, it recommends that the State party:</w:t>
      </w:r>
    </w:p>
    <w:p w14:paraId="419BA6AA" w14:textId="58EC82A7" w:rsidR="004D5720" w:rsidRDefault="00306951" w:rsidP="004D5720">
      <w:pPr>
        <w:pStyle w:val="SingleTxtG"/>
        <w:tabs>
          <w:tab w:val="left" w:pos="1701"/>
        </w:tabs>
        <w:ind w:firstLine="567"/>
        <w:rPr>
          <w:b/>
        </w:rPr>
      </w:pPr>
      <w:r w:rsidRPr="00D46DDC">
        <w:t>(a)</w:t>
      </w:r>
      <w:r w:rsidRPr="004811C6">
        <w:rPr>
          <w:b/>
        </w:rPr>
        <w:tab/>
      </w:r>
      <w:r w:rsidR="00872F91">
        <w:rPr>
          <w:b/>
        </w:rPr>
        <w:t>R</w:t>
      </w:r>
      <w:r w:rsidR="0089443D" w:rsidRPr="0089443D">
        <w:rPr>
          <w:b/>
        </w:rPr>
        <w:t>evis</w:t>
      </w:r>
      <w:r w:rsidR="00872F91">
        <w:rPr>
          <w:b/>
        </w:rPr>
        <w:t>e</w:t>
      </w:r>
      <w:r w:rsidR="0089443D" w:rsidRPr="0089443D">
        <w:rPr>
          <w:b/>
        </w:rPr>
        <w:t xml:space="preserve"> the Law on </w:t>
      </w:r>
      <w:r w:rsidR="00425713">
        <w:rPr>
          <w:b/>
        </w:rPr>
        <w:t>Prevention of and Protection against Discrimination</w:t>
      </w:r>
      <w:r w:rsidR="006429E6">
        <w:rPr>
          <w:b/>
        </w:rPr>
        <w:t xml:space="preserve">, in particular by improving the definition of discrimination in line with </w:t>
      </w:r>
      <w:r w:rsidR="00C20FAE">
        <w:rPr>
          <w:b/>
        </w:rPr>
        <w:t xml:space="preserve">general comment </w:t>
      </w:r>
      <w:r w:rsidR="00C87FDE">
        <w:rPr>
          <w:b/>
        </w:rPr>
        <w:t>N</w:t>
      </w:r>
      <w:r w:rsidR="00C20FAE">
        <w:rPr>
          <w:b/>
        </w:rPr>
        <w:t>o</w:t>
      </w:r>
      <w:r w:rsidR="00C87FDE">
        <w:rPr>
          <w:b/>
        </w:rPr>
        <w:t>.</w:t>
      </w:r>
      <w:r w:rsidR="00C20FAE">
        <w:rPr>
          <w:b/>
        </w:rPr>
        <w:t xml:space="preserve"> </w:t>
      </w:r>
      <w:r w:rsidR="00A14953">
        <w:rPr>
          <w:b/>
        </w:rPr>
        <w:t>20 (2009) on non-discrimination in economic, social and cultural rights</w:t>
      </w:r>
      <w:proofErr w:type="gramStart"/>
      <w:r w:rsidR="00872F91">
        <w:rPr>
          <w:b/>
        </w:rPr>
        <w:t>;</w:t>
      </w:r>
      <w:proofErr w:type="gramEnd"/>
      <w:r w:rsidR="0089443D" w:rsidRPr="0089443D">
        <w:rPr>
          <w:b/>
        </w:rPr>
        <w:t xml:space="preserve"> </w:t>
      </w:r>
    </w:p>
    <w:p w14:paraId="77C0F2F0" w14:textId="045D1FD5" w:rsidR="00872F91" w:rsidRDefault="00306951" w:rsidP="004D5720">
      <w:pPr>
        <w:pStyle w:val="SingleTxtG"/>
        <w:tabs>
          <w:tab w:val="left" w:pos="1701"/>
        </w:tabs>
        <w:ind w:firstLine="567"/>
        <w:rPr>
          <w:b/>
        </w:rPr>
      </w:pPr>
      <w:r w:rsidRPr="00D46DDC">
        <w:t>(b)</w:t>
      </w:r>
      <w:r>
        <w:rPr>
          <w:b/>
        </w:rPr>
        <w:tab/>
      </w:r>
      <w:r w:rsidR="00872F91">
        <w:rPr>
          <w:b/>
        </w:rPr>
        <w:t xml:space="preserve">Expedite </w:t>
      </w:r>
      <w:r w:rsidR="0089443D" w:rsidRPr="0089443D">
        <w:rPr>
          <w:b/>
        </w:rPr>
        <w:t xml:space="preserve">the adoption of the draft </w:t>
      </w:r>
      <w:r w:rsidR="00C87FDE" w:rsidRPr="0089443D">
        <w:rPr>
          <w:b/>
        </w:rPr>
        <w:t>national strategy for equality and non-discrimination</w:t>
      </w:r>
      <w:r w:rsidR="0089443D" w:rsidRPr="0089443D">
        <w:rPr>
          <w:b/>
        </w:rPr>
        <w:t xml:space="preserve"> for 2016-2020</w:t>
      </w:r>
      <w:proofErr w:type="gramStart"/>
      <w:r w:rsidR="00872F91">
        <w:rPr>
          <w:b/>
        </w:rPr>
        <w:t>;</w:t>
      </w:r>
      <w:proofErr w:type="gramEnd"/>
      <w:r w:rsidR="00872F91">
        <w:rPr>
          <w:b/>
        </w:rPr>
        <w:t xml:space="preserve"> </w:t>
      </w:r>
    </w:p>
    <w:p w14:paraId="5F58B59C" w14:textId="3EBF89E8" w:rsidR="00872F91" w:rsidRPr="0089443D" w:rsidRDefault="00306951" w:rsidP="00306951">
      <w:pPr>
        <w:pStyle w:val="SingleTxtG"/>
        <w:tabs>
          <w:tab w:val="left" w:pos="1701"/>
        </w:tabs>
        <w:ind w:firstLine="567"/>
        <w:rPr>
          <w:b/>
        </w:rPr>
      </w:pPr>
      <w:r w:rsidRPr="00D46DDC">
        <w:t>(c)</w:t>
      </w:r>
      <w:r w:rsidRPr="0089443D">
        <w:rPr>
          <w:b/>
        </w:rPr>
        <w:tab/>
      </w:r>
      <w:r w:rsidR="006436E9">
        <w:rPr>
          <w:b/>
        </w:rPr>
        <w:t>Strengthen</w:t>
      </w:r>
      <w:r w:rsidR="006436E9" w:rsidRPr="0089443D">
        <w:rPr>
          <w:b/>
        </w:rPr>
        <w:t xml:space="preserve"> the independence and functioning of the Commission for </w:t>
      </w:r>
      <w:r w:rsidR="00425713">
        <w:rPr>
          <w:b/>
        </w:rPr>
        <w:t>Prevention of and Protection against Discrimination</w:t>
      </w:r>
      <w:r w:rsidR="006436E9">
        <w:rPr>
          <w:b/>
        </w:rPr>
        <w:t xml:space="preserve">, </w:t>
      </w:r>
      <w:r w:rsidR="006436E9" w:rsidRPr="00822B67">
        <w:rPr>
          <w:b/>
        </w:rPr>
        <w:t xml:space="preserve">including through </w:t>
      </w:r>
      <w:r w:rsidR="00687ADC" w:rsidRPr="00822B67">
        <w:rPr>
          <w:b/>
        </w:rPr>
        <w:t xml:space="preserve">a </w:t>
      </w:r>
      <w:r w:rsidR="004811C6" w:rsidRPr="00822B67">
        <w:rPr>
          <w:b/>
        </w:rPr>
        <w:t>review</w:t>
      </w:r>
      <w:r w:rsidR="00687ADC" w:rsidRPr="00822B67">
        <w:rPr>
          <w:b/>
        </w:rPr>
        <w:t xml:space="preserve"> of</w:t>
      </w:r>
      <w:r w:rsidR="004811C6" w:rsidRPr="00822B67">
        <w:rPr>
          <w:b/>
        </w:rPr>
        <w:t xml:space="preserve"> </w:t>
      </w:r>
      <w:r w:rsidR="006436E9" w:rsidRPr="00822B67">
        <w:rPr>
          <w:b/>
        </w:rPr>
        <w:t xml:space="preserve">the appointment criteria and </w:t>
      </w:r>
      <w:r w:rsidR="00C87FDE">
        <w:rPr>
          <w:b/>
        </w:rPr>
        <w:t xml:space="preserve">the </w:t>
      </w:r>
      <w:r w:rsidR="006436E9" w:rsidRPr="00822B67">
        <w:rPr>
          <w:b/>
        </w:rPr>
        <w:t xml:space="preserve">procedure for </w:t>
      </w:r>
      <w:r w:rsidR="00C87FDE">
        <w:rPr>
          <w:b/>
        </w:rPr>
        <w:t>becoming a member</w:t>
      </w:r>
      <w:r w:rsidR="006436E9" w:rsidRPr="00822B67">
        <w:rPr>
          <w:b/>
        </w:rPr>
        <w:t xml:space="preserve">, </w:t>
      </w:r>
      <w:r w:rsidR="00687ADC" w:rsidRPr="00822B67">
        <w:rPr>
          <w:b/>
        </w:rPr>
        <w:t>the</w:t>
      </w:r>
      <w:r w:rsidR="00822B67">
        <w:rPr>
          <w:b/>
        </w:rPr>
        <w:t xml:space="preserve"> </w:t>
      </w:r>
      <w:r w:rsidR="00687ADC" w:rsidRPr="00822B67">
        <w:rPr>
          <w:b/>
        </w:rPr>
        <w:t xml:space="preserve">establishment of </w:t>
      </w:r>
      <w:r w:rsidR="006436E9" w:rsidRPr="00822B67">
        <w:rPr>
          <w:b/>
        </w:rPr>
        <w:t>a professional secretariat</w:t>
      </w:r>
      <w:r w:rsidR="004811C6" w:rsidRPr="00822B67">
        <w:rPr>
          <w:b/>
        </w:rPr>
        <w:t xml:space="preserve"> </w:t>
      </w:r>
      <w:r w:rsidR="006436E9" w:rsidRPr="00822B67">
        <w:rPr>
          <w:b/>
        </w:rPr>
        <w:t xml:space="preserve">and </w:t>
      </w:r>
      <w:r w:rsidR="00C87FDE">
        <w:rPr>
          <w:b/>
        </w:rPr>
        <w:t xml:space="preserve">the </w:t>
      </w:r>
      <w:r w:rsidR="00687ADC" w:rsidRPr="00822B67">
        <w:rPr>
          <w:b/>
        </w:rPr>
        <w:t xml:space="preserve">allocation of </w:t>
      </w:r>
      <w:r w:rsidR="006436E9" w:rsidRPr="00822B67">
        <w:rPr>
          <w:b/>
        </w:rPr>
        <w:t xml:space="preserve">sufficient </w:t>
      </w:r>
      <w:r w:rsidR="006436E9" w:rsidRPr="0089443D">
        <w:rPr>
          <w:b/>
        </w:rPr>
        <w:t>financial resources</w:t>
      </w:r>
      <w:r w:rsidR="006436E9">
        <w:rPr>
          <w:b/>
        </w:rPr>
        <w:t>.</w:t>
      </w:r>
    </w:p>
    <w:p w14:paraId="75EDFEDB" w14:textId="551A6D9C" w:rsidR="009D3B03" w:rsidRPr="007C209B" w:rsidRDefault="009D3B03" w:rsidP="002E4E24">
      <w:pPr>
        <w:pStyle w:val="H23G"/>
        <w:ind w:firstLine="0"/>
      </w:pPr>
      <w:r>
        <w:t>Migrants, asylum</w:t>
      </w:r>
      <w:r w:rsidR="00C87FDE">
        <w:t xml:space="preserve"> </w:t>
      </w:r>
      <w:r>
        <w:t>seekers and refugees</w:t>
      </w:r>
      <w:r w:rsidRPr="007C209B">
        <w:t xml:space="preserve"> </w:t>
      </w:r>
    </w:p>
    <w:p w14:paraId="0054657B" w14:textId="5BAE6527" w:rsidR="00D8253B" w:rsidRPr="00822B67" w:rsidRDefault="00306951" w:rsidP="00306951">
      <w:pPr>
        <w:pStyle w:val="SingleTxtG"/>
        <w:tabs>
          <w:tab w:val="left" w:pos="1701"/>
        </w:tabs>
      </w:pPr>
      <w:r w:rsidRPr="00822B67">
        <w:t>21.</w:t>
      </w:r>
      <w:r w:rsidRPr="00822B67">
        <w:tab/>
      </w:r>
      <w:r w:rsidR="005E5002">
        <w:t xml:space="preserve">The Committee notes the decision of the State party to close its border completely to migrants on 8 March </w:t>
      </w:r>
      <w:r w:rsidR="005E5002" w:rsidRPr="00822B67">
        <w:t>2016</w:t>
      </w:r>
      <w:r w:rsidR="004811C6" w:rsidRPr="00822B67">
        <w:t xml:space="preserve"> and </w:t>
      </w:r>
      <w:r w:rsidR="009F04E1" w:rsidRPr="00822B67">
        <w:t xml:space="preserve">remains </w:t>
      </w:r>
      <w:r w:rsidR="004811C6" w:rsidRPr="00822B67">
        <w:t xml:space="preserve">concerned </w:t>
      </w:r>
      <w:r w:rsidR="00441151" w:rsidRPr="00822B67">
        <w:t xml:space="preserve">about </w:t>
      </w:r>
      <w:r w:rsidR="004811C6" w:rsidRPr="00822B67">
        <w:t xml:space="preserve">all its negative </w:t>
      </w:r>
      <w:r w:rsidR="00A905B9" w:rsidRPr="00822B67">
        <w:t>impacts</w:t>
      </w:r>
      <w:r w:rsidR="00687ADC" w:rsidRPr="00822B67">
        <w:t>.</w:t>
      </w:r>
      <w:r w:rsidR="009F04E1" w:rsidRPr="00822B67">
        <w:t xml:space="preserve"> </w:t>
      </w:r>
      <w:r w:rsidR="00C87FDE">
        <w:t>It</w:t>
      </w:r>
      <w:r w:rsidR="005E5002" w:rsidRPr="00822B67">
        <w:t xml:space="preserve"> is concerned </w:t>
      </w:r>
      <w:r w:rsidR="00BD12D4" w:rsidRPr="00822B67">
        <w:t xml:space="preserve">about </w:t>
      </w:r>
      <w:r w:rsidR="005E5002" w:rsidRPr="00822B67">
        <w:t xml:space="preserve">the situation of </w:t>
      </w:r>
      <w:r w:rsidR="00E10321" w:rsidRPr="00822B67">
        <w:t>refugees</w:t>
      </w:r>
      <w:r w:rsidR="005E5002" w:rsidRPr="00822B67">
        <w:t xml:space="preserve">, </w:t>
      </w:r>
      <w:r w:rsidR="001217BB" w:rsidRPr="00822B67">
        <w:t>many of whom</w:t>
      </w:r>
      <w:r w:rsidR="005E5002" w:rsidRPr="00822B67">
        <w:t xml:space="preserve"> are women and children, </w:t>
      </w:r>
      <w:r w:rsidR="00E10321" w:rsidRPr="00822B67">
        <w:t xml:space="preserve">who </w:t>
      </w:r>
      <w:proofErr w:type="gramStart"/>
      <w:r w:rsidR="009F04E1" w:rsidRPr="00822B67">
        <w:t xml:space="preserve">were still </w:t>
      </w:r>
      <w:r w:rsidR="005E5002" w:rsidRPr="00822B67">
        <w:t>strand</w:t>
      </w:r>
      <w:r w:rsidR="00EE13E7" w:rsidRPr="00822B67">
        <w:t>ed</w:t>
      </w:r>
      <w:proofErr w:type="gramEnd"/>
      <w:r w:rsidR="005E5002" w:rsidRPr="00822B67">
        <w:t xml:space="preserve"> at the temporary transit centres in </w:t>
      </w:r>
      <w:proofErr w:type="spellStart"/>
      <w:r w:rsidR="005E5002" w:rsidRPr="00822B67">
        <w:t>Vinojug</w:t>
      </w:r>
      <w:proofErr w:type="spellEnd"/>
      <w:r w:rsidR="005E5002" w:rsidRPr="00822B67">
        <w:t xml:space="preserve"> and </w:t>
      </w:r>
      <w:proofErr w:type="spellStart"/>
      <w:r w:rsidR="005E5002" w:rsidRPr="00822B67">
        <w:t>Tabanovce</w:t>
      </w:r>
      <w:proofErr w:type="spellEnd"/>
      <w:r w:rsidR="00E10321" w:rsidRPr="00822B67">
        <w:t xml:space="preserve"> at the time of the dialogue</w:t>
      </w:r>
      <w:r w:rsidR="005E5002" w:rsidRPr="00822B67">
        <w:t xml:space="preserve">, </w:t>
      </w:r>
      <w:r w:rsidR="00687ADC" w:rsidRPr="00822B67">
        <w:t xml:space="preserve">living </w:t>
      </w:r>
      <w:r w:rsidR="009F04E1" w:rsidRPr="00822B67">
        <w:t xml:space="preserve">in </w:t>
      </w:r>
      <w:r w:rsidR="005E5002" w:rsidRPr="00822B67">
        <w:t xml:space="preserve">precarious conditions </w:t>
      </w:r>
      <w:r w:rsidR="00687ADC" w:rsidRPr="00822B67">
        <w:t xml:space="preserve">with </w:t>
      </w:r>
      <w:r w:rsidR="005E5002" w:rsidRPr="00822B67">
        <w:t>limited access to health</w:t>
      </w:r>
      <w:r w:rsidR="00C87FDE">
        <w:t>-</w:t>
      </w:r>
      <w:r w:rsidR="005E5002" w:rsidRPr="00822B67">
        <w:t xml:space="preserve">care services, education and other basic </w:t>
      </w:r>
      <w:r w:rsidR="005E5002" w:rsidRPr="005743D2">
        <w:t xml:space="preserve">services. </w:t>
      </w:r>
      <w:r w:rsidR="00D8253B" w:rsidRPr="00822B67">
        <w:t>It is</w:t>
      </w:r>
      <w:r w:rsidR="005E5002" w:rsidRPr="00822B67">
        <w:t xml:space="preserve"> </w:t>
      </w:r>
      <w:r w:rsidR="00D8253B" w:rsidRPr="00822B67">
        <w:t xml:space="preserve">also </w:t>
      </w:r>
      <w:r w:rsidR="005E5002" w:rsidRPr="00822B67">
        <w:t xml:space="preserve">concerned </w:t>
      </w:r>
      <w:r w:rsidR="00D8253B" w:rsidRPr="00822B67">
        <w:t>that</w:t>
      </w:r>
      <w:r w:rsidR="009C1586" w:rsidRPr="00822B67">
        <w:t>, despite a</w:t>
      </w:r>
      <w:r w:rsidR="009C32D4" w:rsidRPr="00822B67">
        <w:t xml:space="preserve">rticle 51 of the Law on </w:t>
      </w:r>
      <w:r w:rsidR="00A07D3D" w:rsidRPr="00822B67">
        <w:t>Asylum and Temporary</w:t>
      </w:r>
      <w:r w:rsidR="009C32D4" w:rsidRPr="00822B67">
        <w:t xml:space="preserve"> Protection</w:t>
      </w:r>
      <w:r w:rsidR="00C87FDE">
        <w:t xml:space="preserve"> of </w:t>
      </w:r>
      <w:r w:rsidR="00C87FDE" w:rsidRPr="00822B67">
        <w:t>2003</w:t>
      </w:r>
      <w:r w:rsidR="009C32D4" w:rsidRPr="00822B67">
        <w:t>,</w:t>
      </w:r>
      <w:r w:rsidR="00D8253B" w:rsidRPr="00822B67">
        <w:t xml:space="preserve"> </w:t>
      </w:r>
      <w:r w:rsidR="00A07D3D" w:rsidRPr="00822B67">
        <w:t xml:space="preserve">access to employment </w:t>
      </w:r>
      <w:r w:rsidR="00C87FDE">
        <w:t>by</w:t>
      </w:r>
      <w:r w:rsidR="00C87FDE" w:rsidRPr="00822B67">
        <w:t xml:space="preserve"> </w:t>
      </w:r>
      <w:r w:rsidR="00A07D3D" w:rsidRPr="00822B67">
        <w:t xml:space="preserve">recognized </w:t>
      </w:r>
      <w:r w:rsidR="00D8253B" w:rsidRPr="00822B67">
        <w:t xml:space="preserve">refugees and persons under subsidiary protection </w:t>
      </w:r>
      <w:r w:rsidR="00A07D3D" w:rsidRPr="00822B67">
        <w:t xml:space="preserve">remains </w:t>
      </w:r>
      <w:r w:rsidR="00D8253B" w:rsidRPr="00822B67">
        <w:t xml:space="preserve">limited </w:t>
      </w:r>
      <w:r w:rsidR="00C87FDE" w:rsidRPr="00822B67">
        <w:t xml:space="preserve">in practice </w:t>
      </w:r>
      <w:r w:rsidR="005E5002" w:rsidRPr="00822B67">
        <w:t xml:space="preserve">owing to the lack of documents </w:t>
      </w:r>
      <w:r w:rsidR="00425713" w:rsidRPr="00822B67">
        <w:t xml:space="preserve">required </w:t>
      </w:r>
      <w:r w:rsidR="005E5002" w:rsidRPr="00822B67">
        <w:t xml:space="preserve">to register </w:t>
      </w:r>
      <w:r w:rsidR="00BD12D4" w:rsidRPr="00822B67">
        <w:t>with</w:t>
      </w:r>
      <w:r w:rsidR="00822B67" w:rsidRPr="00822B67">
        <w:t xml:space="preserve"> </w:t>
      </w:r>
      <w:r w:rsidR="005E5002" w:rsidRPr="00822B67">
        <w:t>the Employment Agency</w:t>
      </w:r>
      <w:r w:rsidR="009C1586" w:rsidRPr="00822B67">
        <w:t>. The Committee regrets, finally,</w:t>
      </w:r>
      <w:r w:rsidR="00D8253B" w:rsidRPr="00822B67">
        <w:t xml:space="preserve"> that </w:t>
      </w:r>
      <w:r w:rsidR="005E5002" w:rsidRPr="00822B67">
        <w:t xml:space="preserve">the recent amendment to </w:t>
      </w:r>
      <w:r w:rsidR="009C1586" w:rsidRPr="00822B67">
        <w:t>a</w:t>
      </w:r>
      <w:r w:rsidR="005E5002" w:rsidRPr="00822B67">
        <w:t>rticle 8 of the Law on Asylum and Temporary Protection</w:t>
      </w:r>
      <w:r w:rsidR="00D8253B" w:rsidRPr="00822B67">
        <w:t xml:space="preserve"> </w:t>
      </w:r>
      <w:r w:rsidR="00D8253B" w:rsidRPr="00E85591">
        <w:t>de facto</w:t>
      </w:r>
      <w:r w:rsidR="00D8253B" w:rsidRPr="00822B67">
        <w:t xml:space="preserve"> denies the right of a recognized refugee or a person under subsidiary protection to family reunification for </w:t>
      </w:r>
      <w:r w:rsidR="00687ADC" w:rsidRPr="00822B67">
        <w:t xml:space="preserve">a </w:t>
      </w:r>
      <w:r w:rsidR="00D8253B" w:rsidRPr="00822B67">
        <w:t xml:space="preserve">period of three years after </w:t>
      </w:r>
      <w:r w:rsidR="009F04E1" w:rsidRPr="00822B67">
        <w:t xml:space="preserve">being granted </w:t>
      </w:r>
      <w:r w:rsidR="00D8253B" w:rsidRPr="00822B67">
        <w:t>asylum (art.</w:t>
      </w:r>
      <w:r w:rsidR="00D33D78">
        <w:t> </w:t>
      </w:r>
      <w:r w:rsidR="00D8253B" w:rsidRPr="00822B67">
        <w:t>2</w:t>
      </w:r>
      <w:r w:rsidR="00D33D78">
        <w:t> </w:t>
      </w:r>
      <w:r w:rsidR="00D8253B" w:rsidRPr="00822B67">
        <w:t>(2)).</w:t>
      </w:r>
      <w:r w:rsidR="001B5FD7">
        <w:t xml:space="preserve"> </w:t>
      </w:r>
    </w:p>
    <w:p w14:paraId="0F4ACD1F" w14:textId="4C0DC089" w:rsidR="009D3B03" w:rsidRPr="00822B67" w:rsidRDefault="00306951" w:rsidP="00306951">
      <w:pPr>
        <w:pStyle w:val="SingleTxtG"/>
        <w:tabs>
          <w:tab w:val="left" w:pos="1701"/>
        </w:tabs>
      </w:pPr>
      <w:r w:rsidRPr="00822B67">
        <w:t>22.</w:t>
      </w:r>
      <w:r w:rsidRPr="00822B67">
        <w:tab/>
      </w:r>
      <w:r w:rsidR="0014720D" w:rsidRPr="00D8253B">
        <w:rPr>
          <w:b/>
        </w:rPr>
        <w:t xml:space="preserve">The Committee recommends that the </w:t>
      </w:r>
      <w:r w:rsidR="0014720D" w:rsidRPr="00822B67">
        <w:rPr>
          <w:b/>
        </w:rPr>
        <w:t xml:space="preserve">State party improve living conditions </w:t>
      </w:r>
      <w:r w:rsidR="00687ADC" w:rsidRPr="00822B67">
        <w:rPr>
          <w:b/>
        </w:rPr>
        <w:t xml:space="preserve">in </w:t>
      </w:r>
      <w:r w:rsidR="0014720D" w:rsidRPr="00822B67">
        <w:rPr>
          <w:b/>
        </w:rPr>
        <w:t xml:space="preserve">the two temporary transit centres in </w:t>
      </w:r>
      <w:proofErr w:type="spellStart"/>
      <w:r w:rsidR="0014720D" w:rsidRPr="00822B67">
        <w:rPr>
          <w:b/>
        </w:rPr>
        <w:t>Vinojug</w:t>
      </w:r>
      <w:proofErr w:type="spellEnd"/>
      <w:r w:rsidR="0014720D" w:rsidRPr="00822B67">
        <w:rPr>
          <w:b/>
        </w:rPr>
        <w:t xml:space="preserve"> and </w:t>
      </w:r>
      <w:proofErr w:type="spellStart"/>
      <w:r w:rsidR="0014720D" w:rsidRPr="00822B67">
        <w:rPr>
          <w:b/>
        </w:rPr>
        <w:t>Tabanovce</w:t>
      </w:r>
      <w:proofErr w:type="spellEnd"/>
      <w:r w:rsidR="0014720D" w:rsidRPr="00822B67">
        <w:rPr>
          <w:b/>
        </w:rPr>
        <w:t xml:space="preserve"> </w:t>
      </w:r>
      <w:r w:rsidR="00441151" w:rsidRPr="00822B67">
        <w:rPr>
          <w:b/>
        </w:rPr>
        <w:t xml:space="preserve">by </w:t>
      </w:r>
      <w:r w:rsidR="0014720D" w:rsidRPr="00822B67">
        <w:rPr>
          <w:b/>
        </w:rPr>
        <w:t>ensur</w:t>
      </w:r>
      <w:r w:rsidR="00441151" w:rsidRPr="00822B67">
        <w:rPr>
          <w:b/>
        </w:rPr>
        <w:t>ing</w:t>
      </w:r>
      <w:r w:rsidR="0014720D" w:rsidRPr="00822B67">
        <w:rPr>
          <w:b/>
        </w:rPr>
        <w:t xml:space="preserve"> that the persons in </w:t>
      </w:r>
      <w:r w:rsidR="00687ADC" w:rsidRPr="00822B67">
        <w:rPr>
          <w:b/>
        </w:rPr>
        <w:t xml:space="preserve">these </w:t>
      </w:r>
      <w:r w:rsidR="0014720D" w:rsidRPr="00822B67">
        <w:rPr>
          <w:b/>
        </w:rPr>
        <w:t>centres have access to health</w:t>
      </w:r>
      <w:r w:rsidR="00952F8E">
        <w:rPr>
          <w:b/>
        </w:rPr>
        <w:t xml:space="preserve"> </w:t>
      </w:r>
      <w:r w:rsidR="0014720D" w:rsidRPr="00822B67">
        <w:rPr>
          <w:b/>
        </w:rPr>
        <w:t xml:space="preserve">care, education and other basic services, and meet the special needs of women, children, </w:t>
      </w:r>
      <w:proofErr w:type="gramStart"/>
      <w:r w:rsidR="0014720D" w:rsidRPr="00822B67">
        <w:rPr>
          <w:b/>
        </w:rPr>
        <w:t>persons</w:t>
      </w:r>
      <w:proofErr w:type="gramEnd"/>
      <w:r w:rsidR="0014720D" w:rsidRPr="00822B67">
        <w:rPr>
          <w:b/>
        </w:rPr>
        <w:t xml:space="preserve"> with disabilities and sick persons. It also recommends that the State party take </w:t>
      </w:r>
      <w:r w:rsidR="007B740F">
        <w:rPr>
          <w:b/>
        </w:rPr>
        <w:t xml:space="preserve">all </w:t>
      </w:r>
      <w:r w:rsidR="0014720D" w:rsidRPr="00822B67">
        <w:rPr>
          <w:b/>
        </w:rPr>
        <w:t xml:space="preserve">measures necessary to ensure that </w:t>
      </w:r>
      <w:r w:rsidR="00D8253B" w:rsidRPr="00822B67">
        <w:rPr>
          <w:b/>
        </w:rPr>
        <w:t>recognized refugees and persons under subsidiary protection</w:t>
      </w:r>
      <w:r w:rsidR="00745BEA" w:rsidRPr="00822B67">
        <w:rPr>
          <w:b/>
        </w:rPr>
        <w:t xml:space="preserve"> have</w:t>
      </w:r>
      <w:r w:rsidR="00D8253B" w:rsidRPr="00822B67">
        <w:rPr>
          <w:b/>
        </w:rPr>
        <w:t xml:space="preserve"> </w:t>
      </w:r>
      <w:r w:rsidR="0014720D" w:rsidRPr="00822B67">
        <w:rPr>
          <w:b/>
        </w:rPr>
        <w:t xml:space="preserve">access to all </w:t>
      </w:r>
      <w:r w:rsidR="00D8253B" w:rsidRPr="00822B67">
        <w:rPr>
          <w:b/>
        </w:rPr>
        <w:t xml:space="preserve">active </w:t>
      </w:r>
      <w:r w:rsidR="0014720D" w:rsidRPr="00822B67">
        <w:rPr>
          <w:b/>
        </w:rPr>
        <w:t xml:space="preserve">employment </w:t>
      </w:r>
      <w:r w:rsidR="00441151" w:rsidRPr="00822B67">
        <w:rPr>
          <w:b/>
        </w:rPr>
        <w:t xml:space="preserve">opportunities </w:t>
      </w:r>
      <w:r w:rsidR="0014720D" w:rsidRPr="00822B67">
        <w:rPr>
          <w:b/>
        </w:rPr>
        <w:t xml:space="preserve">by providing them with </w:t>
      </w:r>
      <w:r w:rsidR="009F04E1" w:rsidRPr="00822B67">
        <w:rPr>
          <w:b/>
        </w:rPr>
        <w:t xml:space="preserve">the </w:t>
      </w:r>
      <w:r w:rsidR="0014720D" w:rsidRPr="00822B67">
        <w:rPr>
          <w:b/>
        </w:rPr>
        <w:t>necessary</w:t>
      </w:r>
      <w:r w:rsidR="002B7069">
        <w:rPr>
          <w:b/>
        </w:rPr>
        <w:t xml:space="preserve"> </w:t>
      </w:r>
      <w:r w:rsidR="0014720D" w:rsidRPr="00822B67">
        <w:rPr>
          <w:b/>
        </w:rPr>
        <w:t>document</w:t>
      </w:r>
      <w:r w:rsidR="00745BEA" w:rsidRPr="00822B67">
        <w:rPr>
          <w:b/>
        </w:rPr>
        <w:t xml:space="preserve">ation </w:t>
      </w:r>
      <w:r w:rsidR="009F04E1" w:rsidRPr="00822B67">
        <w:rPr>
          <w:b/>
        </w:rPr>
        <w:t xml:space="preserve">and other forms of assistance to register </w:t>
      </w:r>
      <w:r w:rsidR="00A820DD" w:rsidRPr="00822B67">
        <w:rPr>
          <w:b/>
        </w:rPr>
        <w:t>with</w:t>
      </w:r>
      <w:r w:rsidR="00822B67" w:rsidRPr="00822B67">
        <w:rPr>
          <w:b/>
        </w:rPr>
        <w:t xml:space="preserve"> t</w:t>
      </w:r>
      <w:r w:rsidR="00745BEA" w:rsidRPr="00822B67">
        <w:rPr>
          <w:b/>
        </w:rPr>
        <w:t xml:space="preserve">he </w:t>
      </w:r>
      <w:r w:rsidR="00387F84" w:rsidRPr="00822B67">
        <w:rPr>
          <w:b/>
        </w:rPr>
        <w:t>Employment Agency</w:t>
      </w:r>
      <w:r w:rsidR="0014720D" w:rsidRPr="00822B67">
        <w:rPr>
          <w:b/>
        </w:rPr>
        <w:t xml:space="preserve">. The Committee urges the State party to withdraw the recent amendment to article </w:t>
      </w:r>
      <w:proofErr w:type="gramStart"/>
      <w:r w:rsidR="0014720D" w:rsidRPr="00822B67">
        <w:rPr>
          <w:b/>
        </w:rPr>
        <w:t>8</w:t>
      </w:r>
      <w:proofErr w:type="gramEnd"/>
      <w:r w:rsidR="0014720D" w:rsidRPr="00822B67">
        <w:rPr>
          <w:b/>
        </w:rPr>
        <w:t xml:space="preserve"> of the Law on Asylum and Temporary Protection and ensure</w:t>
      </w:r>
      <w:r w:rsidR="00822B67" w:rsidRPr="00822B67">
        <w:rPr>
          <w:b/>
        </w:rPr>
        <w:t xml:space="preserve"> </w:t>
      </w:r>
      <w:r w:rsidR="009F04E1" w:rsidRPr="00822B67">
        <w:rPr>
          <w:b/>
        </w:rPr>
        <w:t>that</w:t>
      </w:r>
      <w:r w:rsidR="00822B67" w:rsidRPr="00822B67">
        <w:rPr>
          <w:b/>
        </w:rPr>
        <w:t xml:space="preserve"> </w:t>
      </w:r>
      <w:r w:rsidR="009F04E1" w:rsidRPr="00822B67">
        <w:rPr>
          <w:b/>
        </w:rPr>
        <w:t xml:space="preserve">refugees and persons under subsidiary protection </w:t>
      </w:r>
      <w:r w:rsidR="006B2837" w:rsidRPr="00822B67">
        <w:rPr>
          <w:b/>
        </w:rPr>
        <w:t xml:space="preserve">do not have to wait for a </w:t>
      </w:r>
      <w:r w:rsidR="0046005F" w:rsidRPr="00822B67">
        <w:rPr>
          <w:b/>
        </w:rPr>
        <w:t>disproportionate period of time</w:t>
      </w:r>
      <w:r w:rsidR="006B2837" w:rsidRPr="00822B67">
        <w:rPr>
          <w:b/>
        </w:rPr>
        <w:t xml:space="preserve"> before they are entitled to family reunification</w:t>
      </w:r>
      <w:r w:rsidR="002F229B" w:rsidRPr="00822B67">
        <w:rPr>
          <w:b/>
        </w:rPr>
        <w:t>.</w:t>
      </w:r>
    </w:p>
    <w:p w14:paraId="3AE2C8E7" w14:textId="21F4C834" w:rsidR="007B16E9" w:rsidRDefault="007B16E9" w:rsidP="002E4E24">
      <w:pPr>
        <w:pStyle w:val="H23G"/>
        <w:ind w:firstLine="0"/>
      </w:pPr>
      <w:r>
        <w:t>Roma</w:t>
      </w:r>
    </w:p>
    <w:p w14:paraId="7B7ED0D6" w14:textId="57BBC0BF" w:rsidR="003E5A84" w:rsidRPr="00822B67" w:rsidRDefault="00306951" w:rsidP="00306951">
      <w:pPr>
        <w:pStyle w:val="SingleTxtG"/>
        <w:tabs>
          <w:tab w:val="left" w:pos="1701"/>
        </w:tabs>
      </w:pPr>
      <w:r w:rsidRPr="00822B67">
        <w:t>23.</w:t>
      </w:r>
      <w:r w:rsidRPr="00822B67">
        <w:tab/>
      </w:r>
      <w:r w:rsidR="003E5A84" w:rsidRPr="003E5A84">
        <w:rPr>
          <w:rFonts w:hint="eastAsia"/>
        </w:rPr>
        <w:t>T</w:t>
      </w:r>
      <w:r w:rsidR="003E5A84" w:rsidRPr="003E5A84">
        <w:t xml:space="preserve">he </w:t>
      </w:r>
      <w:r w:rsidR="003E5A84" w:rsidRPr="00822B67">
        <w:t>Committee is concerned at the lack of statistical data on Roma, whic</w:t>
      </w:r>
      <w:r w:rsidR="0009316D">
        <w:t>h d</w:t>
      </w:r>
      <w:r w:rsidR="008F284A" w:rsidRPr="00822B67">
        <w:t xml:space="preserve">oes not allow for effective </w:t>
      </w:r>
      <w:r w:rsidR="006B2837" w:rsidRPr="00822B67">
        <w:t xml:space="preserve">implementation of </w:t>
      </w:r>
      <w:r w:rsidR="003E5A84" w:rsidRPr="00822B67">
        <w:t xml:space="preserve">policies targeted at the Roma population. </w:t>
      </w:r>
      <w:r w:rsidR="0075009C">
        <w:t>It</w:t>
      </w:r>
      <w:r w:rsidR="003E5A84" w:rsidRPr="00822B67">
        <w:t xml:space="preserve"> remains concerned at</w:t>
      </w:r>
      <w:r w:rsidR="00A327F2" w:rsidRPr="00822B67">
        <w:t xml:space="preserve"> </w:t>
      </w:r>
      <w:r w:rsidR="003E5A84" w:rsidRPr="00822B67">
        <w:t>the</w:t>
      </w:r>
      <w:r w:rsidR="00A327F2" w:rsidRPr="00822B67">
        <w:t xml:space="preserve"> structural discrimination </w:t>
      </w:r>
      <w:r w:rsidR="00B61D25">
        <w:t>facing</w:t>
      </w:r>
      <w:r w:rsidR="00B61D25" w:rsidRPr="00822B67">
        <w:t xml:space="preserve"> </w:t>
      </w:r>
      <w:r w:rsidR="00A327F2" w:rsidRPr="00822B67">
        <w:t>Roma</w:t>
      </w:r>
      <w:r w:rsidR="007C69DA" w:rsidRPr="00822B67">
        <w:t xml:space="preserve"> </w:t>
      </w:r>
      <w:r w:rsidR="00B61D25">
        <w:t xml:space="preserve">in a number of spheres of social life </w:t>
      </w:r>
      <w:r w:rsidR="007C69DA" w:rsidRPr="00822B67">
        <w:t xml:space="preserve">and </w:t>
      </w:r>
      <w:r w:rsidR="00A327F2" w:rsidRPr="00822B67">
        <w:t>their</w:t>
      </w:r>
      <w:r w:rsidR="003E5A84" w:rsidRPr="00822B67">
        <w:t xml:space="preserve"> low socioeconomic status</w:t>
      </w:r>
      <w:r w:rsidR="002A6E85" w:rsidRPr="00822B67">
        <w:t xml:space="preserve"> </w:t>
      </w:r>
      <w:r w:rsidR="003E5A84" w:rsidRPr="00822B67">
        <w:t>in</w:t>
      </w:r>
      <w:r w:rsidR="002A6E85" w:rsidRPr="00822B67">
        <w:t xml:space="preserve"> </w:t>
      </w:r>
      <w:r w:rsidR="003E5A84" w:rsidRPr="00822B67">
        <w:t xml:space="preserve">the </w:t>
      </w:r>
      <w:r w:rsidR="00C84E90" w:rsidRPr="00822B67">
        <w:t>State party</w:t>
      </w:r>
      <w:r w:rsidR="002A6E85" w:rsidRPr="00822B67">
        <w:t>, illustrated by very high poverty and unemployment rates, low labour market participation rate</w:t>
      </w:r>
      <w:r w:rsidR="00425713">
        <w:t>s</w:t>
      </w:r>
      <w:r w:rsidR="00516F06" w:rsidRPr="00822B67">
        <w:t xml:space="preserve"> and </w:t>
      </w:r>
      <w:r w:rsidR="002A6E85" w:rsidRPr="00822B67">
        <w:t>very low life expectancy.</w:t>
      </w:r>
      <w:r w:rsidR="007C69DA" w:rsidRPr="00822B67">
        <w:t xml:space="preserve"> It is </w:t>
      </w:r>
      <w:r w:rsidR="0075009C">
        <w:t>also</w:t>
      </w:r>
      <w:r w:rsidR="0075009C" w:rsidRPr="00822B67">
        <w:t xml:space="preserve"> </w:t>
      </w:r>
      <w:r w:rsidR="007C69DA" w:rsidRPr="00822B67">
        <w:t xml:space="preserve">concerned that there are still a number of Roma who are not registered and </w:t>
      </w:r>
      <w:r w:rsidR="00564FE3" w:rsidRPr="00822B67">
        <w:t xml:space="preserve">may have </w:t>
      </w:r>
      <w:r w:rsidR="007C69DA" w:rsidRPr="00822B67">
        <w:t>limited access to public services</w:t>
      </w:r>
      <w:r w:rsidR="00297981" w:rsidRPr="00822B67">
        <w:t xml:space="preserve"> </w:t>
      </w:r>
      <w:r w:rsidR="00564FE3" w:rsidRPr="00822B67">
        <w:t xml:space="preserve">as a result </w:t>
      </w:r>
      <w:r w:rsidR="00297981" w:rsidRPr="00822B67">
        <w:t>(art. 2 (2))</w:t>
      </w:r>
      <w:r w:rsidR="003E5A84" w:rsidRPr="00822B67">
        <w:t>.</w:t>
      </w:r>
    </w:p>
    <w:p w14:paraId="04944D4D" w14:textId="71FD2410" w:rsidR="00AA2495" w:rsidRPr="003E5A84" w:rsidRDefault="00306951" w:rsidP="004D5720">
      <w:pPr>
        <w:pStyle w:val="SingleTxtG"/>
        <w:tabs>
          <w:tab w:val="left" w:pos="1701"/>
        </w:tabs>
        <w:rPr>
          <w:b/>
        </w:rPr>
      </w:pPr>
      <w:proofErr w:type="gramStart"/>
      <w:r w:rsidRPr="003E5A84">
        <w:t>24.</w:t>
      </w:r>
      <w:r w:rsidRPr="003E5A84">
        <w:tab/>
      </w:r>
      <w:r w:rsidR="003E5A84" w:rsidRPr="00822B67">
        <w:rPr>
          <w:b/>
        </w:rPr>
        <w:t xml:space="preserve">The Committee recommends that the State party </w:t>
      </w:r>
      <w:r w:rsidR="0019797F" w:rsidRPr="00822B67">
        <w:rPr>
          <w:b/>
        </w:rPr>
        <w:t xml:space="preserve">intensify its efforts </w:t>
      </w:r>
      <w:r w:rsidR="003E5A84" w:rsidRPr="00822B67">
        <w:rPr>
          <w:b/>
        </w:rPr>
        <w:t xml:space="preserve">to </w:t>
      </w:r>
      <w:r w:rsidR="007C69DA" w:rsidRPr="00822B67">
        <w:rPr>
          <w:b/>
        </w:rPr>
        <w:t>eradicate</w:t>
      </w:r>
      <w:r w:rsidR="003E5A84" w:rsidRPr="00822B67">
        <w:rPr>
          <w:b/>
        </w:rPr>
        <w:t xml:space="preserve"> the structural discrimination </w:t>
      </w:r>
      <w:r w:rsidR="0009316D">
        <w:rPr>
          <w:b/>
        </w:rPr>
        <w:t>against</w:t>
      </w:r>
      <w:r w:rsidR="003E5A84" w:rsidRPr="00822B67">
        <w:rPr>
          <w:b/>
        </w:rPr>
        <w:t xml:space="preserve"> Roma </w:t>
      </w:r>
      <w:r w:rsidR="002A6E85" w:rsidRPr="00822B67">
        <w:rPr>
          <w:b/>
        </w:rPr>
        <w:t xml:space="preserve">and to </w:t>
      </w:r>
      <w:r w:rsidR="007C69DA" w:rsidRPr="00822B67">
        <w:rPr>
          <w:b/>
        </w:rPr>
        <w:t xml:space="preserve">improve </w:t>
      </w:r>
      <w:r w:rsidR="002A6E85" w:rsidRPr="00822B67">
        <w:rPr>
          <w:b/>
        </w:rPr>
        <w:t xml:space="preserve">their </w:t>
      </w:r>
      <w:r w:rsidR="003E5A84" w:rsidRPr="00822B67">
        <w:rPr>
          <w:b/>
        </w:rPr>
        <w:t xml:space="preserve">socioeconomic status, including </w:t>
      </w:r>
      <w:r w:rsidR="008D57CF" w:rsidRPr="00822B67">
        <w:rPr>
          <w:b/>
        </w:rPr>
        <w:t xml:space="preserve">by designing </w:t>
      </w:r>
      <w:r w:rsidR="006B2837" w:rsidRPr="00822B67">
        <w:rPr>
          <w:b/>
        </w:rPr>
        <w:t xml:space="preserve">targeted </w:t>
      </w:r>
      <w:r w:rsidR="003E5A84" w:rsidRPr="00822B67">
        <w:rPr>
          <w:b/>
        </w:rPr>
        <w:t xml:space="preserve">policies </w:t>
      </w:r>
      <w:r w:rsidR="006B2837" w:rsidRPr="00822B67">
        <w:rPr>
          <w:b/>
        </w:rPr>
        <w:t>and programmes</w:t>
      </w:r>
      <w:r w:rsidR="00752416">
        <w:rPr>
          <w:b/>
        </w:rPr>
        <w:t xml:space="preserve"> </w:t>
      </w:r>
      <w:r w:rsidR="003E5A84" w:rsidRPr="00822B67">
        <w:rPr>
          <w:b/>
        </w:rPr>
        <w:t xml:space="preserve">for the realization of </w:t>
      </w:r>
      <w:r w:rsidR="006B2837" w:rsidRPr="00822B67">
        <w:rPr>
          <w:b/>
        </w:rPr>
        <w:t xml:space="preserve">the </w:t>
      </w:r>
      <w:r w:rsidR="003E5A84" w:rsidRPr="00822B67">
        <w:rPr>
          <w:b/>
        </w:rPr>
        <w:t>economic, social and cultural rights</w:t>
      </w:r>
      <w:r w:rsidR="006B2837" w:rsidRPr="00822B67">
        <w:rPr>
          <w:b/>
        </w:rPr>
        <w:t xml:space="preserve"> of the Roma population</w:t>
      </w:r>
      <w:r w:rsidR="003E5A84" w:rsidRPr="00822B67">
        <w:rPr>
          <w:b/>
        </w:rPr>
        <w:t xml:space="preserve"> on </w:t>
      </w:r>
      <w:r w:rsidR="0075009C">
        <w:rPr>
          <w:b/>
        </w:rPr>
        <w:t xml:space="preserve">the basis of </w:t>
      </w:r>
      <w:r w:rsidR="003E5A84" w:rsidRPr="00822B67">
        <w:rPr>
          <w:b/>
        </w:rPr>
        <w:t>reliable statistical data as well as</w:t>
      </w:r>
      <w:r w:rsidR="004D5720">
        <w:rPr>
          <w:b/>
        </w:rPr>
        <w:t xml:space="preserve"> </w:t>
      </w:r>
      <w:r w:rsidR="003E5A84" w:rsidRPr="00822B67">
        <w:rPr>
          <w:b/>
        </w:rPr>
        <w:t>thorough</w:t>
      </w:r>
      <w:r w:rsidR="0075009C">
        <w:rPr>
          <w:b/>
        </w:rPr>
        <w:t xml:space="preserve"> and</w:t>
      </w:r>
      <w:r w:rsidR="003E5A84" w:rsidRPr="00822B67">
        <w:rPr>
          <w:b/>
        </w:rPr>
        <w:t xml:space="preserve"> regular </w:t>
      </w:r>
      <w:r w:rsidR="00D477E1" w:rsidRPr="00822B67">
        <w:rPr>
          <w:b/>
        </w:rPr>
        <w:t xml:space="preserve">monitoring </w:t>
      </w:r>
      <w:r w:rsidR="003E5A84" w:rsidRPr="00822B67">
        <w:rPr>
          <w:b/>
        </w:rPr>
        <w:t>of the</w:t>
      </w:r>
      <w:r w:rsidR="006B2837" w:rsidRPr="00822B67">
        <w:rPr>
          <w:b/>
        </w:rPr>
        <w:t xml:space="preserve"> results of such policies and programmes.</w:t>
      </w:r>
      <w:proofErr w:type="gramEnd"/>
      <w:r w:rsidR="006B2837" w:rsidRPr="00822B67">
        <w:rPr>
          <w:b/>
        </w:rPr>
        <w:t xml:space="preserve"> </w:t>
      </w:r>
      <w:r w:rsidR="003E5A84" w:rsidRPr="00822B67">
        <w:rPr>
          <w:b/>
        </w:rPr>
        <w:t xml:space="preserve">The Committee also recommends that the State party take </w:t>
      </w:r>
      <w:r w:rsidR="007B740F">
        <w:rPr>
          <w:b/>
        </w:rPr>
        <w:t xml:space="preserve">all </w:t>
      </w:r>
      <w:r w:rsidR="003E5A84" w:rsidRPr="00822B67">
        <w:rPr>
          <w:b/>
        </w:rPr>
        <w:t xml:space="preserve">measures necessary to </w:t>
      </w:r>
      <w:r w:rsidR="006B2837" w:rsidRPr="00822B67">
        <w:rPr>
          <w:b/>
          <w:bCs/>
        </w:rPr>
        <w:t xml:space="preserve">issue </w:t>
      </w:r>
      <w:r w:rsidR="0019797F" w:rsidRPr="00822B67">
        <w:rPr>
          <w:b/>
          <w:bCs/>
        </w:rPr>
        <w:t xml:space="preserve">identity cards </w:t>
      </w:r>
      <w:r w:rsidR="006B2837" w:rsidRPr="00822B67">
        <w:rPr>
          <w:b/>
          <w:bCs/>
        </w:rPr>
        <w:t xml:space="preserve">to all Roma </w:t>
      </w:r>
      <w:r w:rsidR="0019797F" w:rsidRPr="00822B67">
        <w:rPr>
          <w:b/>
          <w:bCs/>
        </w:rPr>
        <w:t xml:space="preserve">and </w:t>
      </w:r>
      <w:r w:rsidR="00A9734F">
        <w:rPr>
          <w:b/>
          <w:bCs/>
        </w:rPr>
        <w:t xml:space="preserve">to address the situation of </w:t>
      </w:r>
      <w:r w:rsidR="00A9734F" w:rsidRPr="006C5928">
        <w:rPr>
          <w:b/>
          <w:bCs/>
        </w:rPr>
        <w:t>stateless</w:t>
      </w:r>
      <w:r w:rsidR="00A9734F">
        <w:rPr>
          <w:b/>
          <w:bCs/>
        </w:rPr>
        <w:t xml:space="preserve"> persons in line with the requirements of the Convention relat</w:t>
      </w:r>
      <w:r w:rsidR="0075009C">
        <w:rPr>
          <w:b/>
          <w:bCs/>
        </w:rPr>
        <w:t>ing</w:t>
      </w:r>
      <w:r w:rsidR="00A9734F">
        <w:rPr>
          <w:b/>
          <w:bCs/>
        </w:rPr>
        <w:t xml:space="preserve"> to the Status of Stateles</w:t>
      </w:r>
      <w:r w:rsidR="00A9734F" w:rsidRPr="006C5928">
        <w:rPr>
          <w:b/>
          <w:bCs/>
        </w:rPr>
        <w:t>s</w:t>
      </w:r>
      <w:r w:rsidR="00A9734F">
        <w:rPr>
          <w:b/>
          <w:bCs/>
        </w:rPr>
        <w:t xml:space="preserve"> Persons</w:t>
      </w:r>
      <w:r w:rsidR="0075009C">
        <w:rPr>
          <w:b/>
          <w:bCs/>
        </w:rPr>
        <w:t xml:space="preserve"> of 1954</w:t>
      </w:r>
      <w:r w:rsidR="003E5A84" w:rsidRPr="003E5A84">
        <w:rPr>
          <w:b/>
        </w:rPr>
        <w:t>.</w:t>
      </w:r>
    </w:p>
    <w:p w14:paraId="30875070" w14:textId="78EFF9AF" w:rsidR="009D3B03" w:rsidRPr="007C209B" w:rsidRDefault="009D3B03" w:rsidP="002E4E24">
      <w:pPr>
        <w:pStyle w:val="H23G"/>
        <w:ind w:firstLine="0"/>
      </w:pPr>
      <w:r w:rsidRPr="007C209B">
        <w:t xml:space="preserve">Lesbian, gay, bisexual, transgender and intersex persons </w:t>
      </w:r>
    </w:p>
    <w:p w14:paraId="0BB473AA" w14:textId="5384DE90" w:rsidR="002B7C71" w:rsidRPr="0009316D" w:rsidRDefault="00306951" w:rsidP="00306951">
      <w:pPr>
        <w:pStyle w:val="SingleTxtG"/>
        <w:tabs>
          <w:tab w:val="left" w:pos="1701"/>
        </w:tabs>
      </w:pPr>
      <w:r w:rsidRPr="0009316D">
        <w:t>25.</w:t>
      </w:r>
      <w:r w:rsidRPr="0009316D">
        <w:tab/>
      </w:r>
      <w:r w:rsidR="002B7C71" w:rsidRPr="002B7C71">
        <w:t xml:space="preserve">The Committee is concerned </w:t>
      </w:r>
      <w:r w:rsidR="0025549D">
        <w:t xml:space="preserve">that </w:t>
      </w:r>
      <w:r w:rsidR="00CD4102">
        <w:t>the Law on the Prevention of and Protection against Discrimination</w:t>
      </w:r>
      <w:r w:rsidR="0075009C">
        <w:t xml:space="preserve"> </w:t>
      </w:r>
      <w:r w:rsidR="00065A44">
        <w:t xml:space="preserve">does not include </w:t>
      </w:r>
      <w:r w:rsidR="002B7C71" w:rsidRPr="002B7C71">
        <w:t>sexual orientation</w:t>
      </w:r>
      <w:r w:rsidR="0025549D" w:rsidRPr="0025549D">
        <w:t xml:space="preserve"> </w:t>
      </w:r>
      <w:r w:rsidR="0075009C">
        <w:t>or</w:t>
      </w:r>
      <w:r w:rsidR="0075009C" w:rsidRPr="002B7C71">
        <w:t xml:space="preserve"> </w:t>
      </w:r>
      <w:r w:rsidR="0025549D" w:rsidRPr="002B7C71">
        <w:t>gender identity</w:t>
      </w:r>
      <w:r w:rsidR="002B7C71" w:rsidRPr="002B7C71">
        <w:t xml:space="preserve"> </w:t>
      </w:r>
      <w:r w:rsidR="00065A44">
        <w:t xml:space="preserve">as </w:t>
      </w:r>
      <w:r w:rsidR="00441151">
        <w:t xml:space="preserve">prohibited </w:t>
      </w:r>
      <w:r w:rsidR="00065A44">
        <w:t>ground</w:t>
      </w:r>
      <w:r w:rsidR="00441151">
        <w:t>s</w:t>
      </w:r>
      <w:r w:rsidR="00065A44">
        <w:t xml:space="preserve"> of discrimination</w:t>
      </w:r>
      <w:r w:rsidR="00991942">
        <w:t xml:space="preserve"> and that article 14</w:t>
      </w:r>
      <w:r w:rsidR="0075009C">
        <w:t xml:space="preserve"> </w:t>
      </w:r>
      <w:r w:rsidR="00991942">
        <w:t xml:space="preserve">(6) </w:t>
      </w:r>
      <w:r w:rsidR="004931C0">
        <w:t xml:space="preserve">of the Law </w:t>
      </w:r>
      <w:r w:rsidR="00B61D25">
        <w:t xml:space="preserve">maintains </w:t>
      </w:r>
      <w:r w:rsidR="00991942">
        <w:t>discriminat</w:t>
      </w:r>
      <w:r w:rsidR="00A17506">
        <w:t>ion</w:t>
      </w:r>
      <w:r w:rsidR="00991942">
        <w:t xml:space="preserve"> between opposite-sex </w:t>
      </w:r>
      <w:r w:rsidR="00B61D25">
        <w:t xml:space="preserve">unions, </w:t>
      </w:r>
      <w:r w:rsidR="0075009C">
        <w:t>for</w:t>
      </w:r>
      <w:r w:rsidR="00B61D25">
        <w:t xml:space="preserve"> which the concept of </w:t>
      </w:r>
      <w:r w:rsidR="0075009C">
        <w:t>“</w:t>
      </w:r>
      <w:r w:rsidR="00B61D25">
        <w:t>family</w:t>
      </w:r>
      <w:r w:rsidR="0075009C">
        <w:t>”</w:t>
      </w:r>
      <w:r w:rsidR="00B61D25">
        <w:t xml:space="preserve"> is reserved, and same-sex unions</w:t>
      </w:r>
      <w:r w:rsidR="00065A44">
        <w:t>.</w:t>
      </w:r>
      <w:r w:rsidR="0025549D">
        <w:t xml:space="preserve"> It is also concerned </w:t>
      </w:r>
      <w:r w:rsidR="00065A44">
        <w:t xml:space="preserve">that </w:t>
      </w:r>
      <w:r w:rsidR="00B61D25">
        <w:t>un</w:t>
      </w:r>
      <w:r w:rsidR="00A17506">
        <w:t>i</w:t>
      </w:r>
      <w:r w:rsidR="00B61D25">
        <w:t xml:space="preserve">versity </w:t>
      </w:r>
      <w:r w:rsidR="00065A44">
        <w:t xml:space="preserve">textbooks convey </w:t>
      </w:r>
      <w:r w:rsidR="00C52DAD">
        <w:t xml:space="preserve">negative stereotypes </w:t>
      </w:r>
      <w:r w:rsidR="0075009C">
        <w:t>of</w:t>
      </w:r>
      <w:r w:rsidR="0075009C" w:rsidRPr="002B7C71">
        <w:t xml:space="preserve"> </w:t>
      </w:r>
      <w:r w:rsidR="002B7C71" w:rsidRPr="002B7C71">
        <w:t>lesbian, gay, bisexual, transgender and intersex persons</w:t>
      </w:r>
      <w:r w:rsidR="004B7125">
        <w:t xml:space="preserve">. It is further concerned that </w:t>
      </w:r>
      <w:r w:rsidR="0075009C">
        <w:t xml:space="preserve">such </w:t>
      </w:r>
      <w:r w:rsidR="00425713">
        <w:t xml:space="preserve">persons </w:t>
      </w:r>
      <w:r w:rsidR="004B7125">
        <w:t xml:space="preserve">are </w:t>
      </w:r>
      <w:r w:rsidR="002B7C71" w:rsidRPr="002B7C71">
        <w:t>bull</w:t>
      </w:r>
      <w:r w:rsidR="004B7125">
        <w:t>ied</w:t>
      </w:r>
      <w:r w:rsidR="002B7C71" w:rsidRPr="002B7C71">
        <w:t>, physically attack</w:t>
      </w:r>
      <w:r w:rsidR="004B7125">
        <w:t>ed,</w:t>
      </w:r>
      <w:r w:rsidR="002B7C71" w:rsidRPr="002B7C71">
        <w:t xml:space="preserve"> socia</w:t>
      </w:r>
      <w:r w:rsidR="004B7125">
        <w:t xml:space="preserve">lly </w:t>
      </w:r>
      <w:r w:rsidR="002B7C71" w:rsidRPr="002B7C71">
        <w:t>stigmatiz</w:t>
      </w:r>
      <w:r w:rsidR="004B7125">
        <w:t xml:space="preserve">ed and </w:t>
      </w:r>
      <w:r w:rsidR="002B7C71" w:rsidRPr="002B7C71">
        <w:t>discriminat</w:t>
      </w:r>
      <w:r w:rsidR="004B7125">
        <w:t>ed</w:t>
      </w:r>
      <w:r w:rsidR="0075009C">
        <w:t xml:space="preserve"> against</w:t>
      </w:r>
      <w:r w:rsidR="00297981">
        <w:t xml:space="preserve"> </w:t>
      </w:r>
      <w:r w:rsidR="00065A44">
        <w:t>and that law enforcement officials</w:t>
      </w:r>
      <w:r w:rsidR="00065A44" w:rsidRPr="0009316D">
        <w:t xml:space="preserve"> </w:t>
      </w:r>
      <w:r w:rsidR="006B2837" w:rsidRPr="0009316D">
        <w:t xml:space="preserve">do not always take </w:t>
      </w:r>
      <w:r w:rsidR="00065A44" w:rsidRPr="0009316D">
        <w:t xml:space="preserve">action </w:t>
      </w:r>
      <w:r w:rsidR="006B2837" w:rsidRPr="0009316D">
        <w:t xml:space="preserve">in </w:t>
      </w:r>
      <w:r w:rsidR="00065A44" w:rsidRPr="0009316D">
        <w:t xml:space="preserve">cases of violence against </w:t>
      </w:r>
      <w:r w:rsidR="00425713">
        <w:t>them</w:t>
      </w:r>
      <w:r w:rsidR="007B16E9" w:rsidRPr="0009316D">
        <w:t xml:space="preserve"> (art.</w:t>
      </w:r>
      <w:r w:rsidR="00D33D78">
        <w:t> </w:t>
      </w:r>
      <w:r w:rsidR="007B16E9" w:rsidRPr="0009316D">
        <w:t>2</w:t>
      </w:r>
      <w:r w:rsidR="00D33D78">
        <w:t> </w:t>
      </w:r>
      <w:r w:rsidR="007B16E9" w:rsidRPr="0009316D">
        <w:t>(2)).</w:t>
      </w:r>
    </w:p>
    <w:p w14:paraId="0F048F4F" w14:textId="2B5B2516" w:rsidR="00B66884" w:rsidRPr="002B7C71" w:rsidRDefault="00306951" w:rsidP="00306951">
      <w:pPr>
        <w:pStyle w:val="SingleTxtG"/>
        <w:tabs>
          <w:tab w:val="left" w:pos="1701"/>
        </w:tabs>
        <w:rPr>
          <w:b/>
        </w:rPr>
      </w:pPr>
      <w:proofErr w:type="gramStart"/>
      <w:r w:rsidRPr="002B7C71">
        <w:t>26.</w:t>
      </w:r>
      <w:r w:rsidRPr="002B7C71">
        <w:tab/>
      </w:r>
      <w:r w:rsidR="002B7C71" w:rsidRPr="002B7C71">
        <w:rPr>
          <w:b/>
        </w:rPr>
        <w:t xml:space="preserve">The Committee recommends that the State party take </w:t>
      </w:r>
      <w:r w:rsidR="007B740F">
        <w:rPr>
          <w:b/>
        </w:rPr>
        <w:t xml:space="preserve">all </w:t>
      </w:r>
      <w:r w:rsidR="002B7C71" w:rsidRPr="002B7C71">
        <w:rPr>
          <w:b/>
        </w:rPr>
        <w:t xml:space="preserve">measures necessary to ensure that discrimination based on sexual orientation </w:t>
      </w:r>
      <w:r w:rsidR="0075009C">
        <w:rPr>
          <w:b/>
        </w:rPr>
        <w:t>or</w:t>
      </w:r>
      <w:r w:rsidR="0075009C" w:rsidRPr="002B7C71">
        <w:rPr>
          <w:b/>
        </w:rPr>
        <w:t xml:space="preserve"> </w:t>
      </w:r>
      <w:r w:rsidR="002B7C71" w:rsidRPr="002B7C71">
        <w:rPr>
          <w:b/>
        </w:rPr>
        <w:t>gender identity is explicitly prohibited in anti-</w:t>
      </w:r>
      <w:r w:rsidR="002B7C71" w:rsidRPr="0009316D">
        <w:rPr>
          <w:b/>
        </w:rPr>
        <w:t>discrimination legislation</w:t>
      </w:r>
      <w:r w:rsidR="00991942">
        <w:rPr>
          <w:b/>
        </w:rPr>
        <w:t xml:space="preserve"> </w:t>
      </w:r>
      <w:r w:rsidR="002C3BCF">
        <w:rPr>
          <w:b/>
        </w:rPr>
        <w:t>and that same-sex couples</w:t>
      </w:r>
      <w:r w:rsidR="00991942">
        <w:rPr>
          <w:b/>
        </w:rPr>
        <w:t xml:space="preserve"> </w:t>
      </w:r>
      <w:r w:rsidR="00B61D25">
        <w:rPr>
          <w:b/>
        </w:rPr>
        <w:t>have access to ad</w:t>
      </w:r>
      <w:r w:rsidR="00A17506">
        <w:rPr>
          <w:b/>
        </w:rPr>
        <w:t>v</w:t>
      </w:r>
      <w:r w:rsidR="00B61D25">
        <w:rPr>
          <w:b/>
        </w:rPr>
        <w:t xml:space="preserve">antages </w:t>
      </w:r>
      <w:r w:rsidR="0075009C">
        <w:rPr>
          <w:b/>
        </w:rPr>
        <w:t xml:space="preserve">now </w:t>
      </w:r>
      <w:r w:rsidR="00B61D25">
        <w:rPr>
          <w:b/>
        </w:rPr>
        <w:t xml:space="preserve">reserved </w:t>
      </w:r>
      <w:r w:rsidR="0075009C">
        <w:rPr>
          <w:b/>
        </w:rPr>
        <w:t>for</w:t>
      </w:r>
      <w:r w:rsidR="00B61D25">
        <w:rPr>
          <w:b/>
        </w:rPr>
        <w:t xml:space="preserve"> married </w:t>
      </w:r>
      <w:r w:rsidR="00045676">
        <w:rPr>
          <w:b/>
        </w:rPr>
        <w:t>couples</w:t>
      </w:r>
      <w:r w:rsidR="00D826B1" w:rsidRPr="0009316D">
        <w:rPr>
          <w:b/>
        </w:rPr>
        <w:t xml:space="preserve">; </w:t>
      </w:r>
      <w:r w:rsidR="002B7C71" w:rsidRPr="0009316D">
        <w:rPr>
          <w:b/>
        </w:rPr>
        <w:t xml:space="preserve">eradicate negative stereotypes </w:t>
      </w:r>
      <w:r w:rsidR="00F15336" w:rsidRPr="0009316D">
        <w:rPr>
          <w:b/>
        </w:rPr>
        <w:t xml:space="preserve">about </w:t>
      </w:r>
      <w:r w:rsidR="002B7C71" w:rsidRPr="0009316D">
        <w:rPr>
          <w:b/>
        </w:rPr>
        <w:t xml:space="preserve">and </w:t>
      </w:r>
      <w:r w:rsidR="006B2837" w:rsidRPr="0009316D">
        <w:rPr>
          <w:b/>
        </w:rPr>
        <w:t xml:space="preserve">stigmatization of </w:t>
      </w:r>
      <w:r w:rsidR="0075009C" w:rsidRPr="00E85591">
        <w:rPr>
          <w:b/>
        </w:rPr>
        <w:t>lesbian, gay, bisexual, transgender and intersex</w:t>
      </w:r>
      <w:r w:rsidR="0075009C" w:rsidRPr="0009316D" w:rsidDel="0075009C">
        <w:rPr>
          <w:b/>
        </w:rPr>
        <w:t xml:space="preserve"> </w:t>
      </w:r>
      <w:r w:rsidR="002B7C71" w:rsidRPr="0009316D">
        <w:rPr>
          <w:b/>
        </w:rPr>
        <w:t xml:space="preserve">persons, including </w:t>
      </w:r>
      <w:r w:rsidR="0075009C">
        <w:rPr>
          <w:b/>
        </w:rPr>
        <w:t>by revising</w:t>
      </w:r>
      <w:r w:rsidR="00D826B1" w:rsidRPr="0009316D">
        <w:rPr>
          <w:b/>
        </w:rPr>
        <w:t xml:space="preserve"> textbooks and </w:t>
      </w:r>
      <w:r w:rsidR="0075009C">
        <w:rPr>
          <w:b/>
        </w:rPr>
        <w:t xml:space="preserve">conducting </w:t>
      </w:r>
      <w:r w:rsidR="002B7C71" w:rsidRPr="0009316D">
        <w:rPr>
          <w:b/>
        </w:rPr>
        <w:t>awareness-raising campaign</w:t>
      </w:r>
      <w:r w:rsidR="00D826B1" w:rsidRPr="0009316D">
        <w:rPr>
          <w:b/>
        </w:rPr>
        <w:t>s</w:t>
      </w:r>
      <w:r w:rsidR="002B7C71" w:rsidRPr="0009316D">
        <w:rPr>
          <w:b/>
        </w:rPr>
        <w:t xml:space="preserve"> for the public, health</w:t>
      </w:r>
      <w:r w:rsidR="0075009C">
        <w:rPr>
          <w:b/>
        </w:rPr>
        <w:t>-</w:t>
      </w:r>
      <w:r w:rsidR="002B7C71" w:rsidRPr="0009316D">
        <w:rPr>
          <w:b/>
        </w:rPr>
        <w:t>care providers, social workers</w:t>
      </w:r>
      <w:r w:rsidR="00D826B1" w:rsidRPr="0009316D">
        <w:rPr>
          <w:b/>
        </w:rPr>
        <w:t xml:space="preserve"> and</w:t>
      </w:r>
      <w:r w:rsidR="002B7C71" w:rsidRPr="0009316D">
        <w:rPr>
          <w:b/>
        </w:rPr>
        <w:t xml:space="preserve"> law enforcement</w:t>
      </w:r>
      <w:r w:rsidR="0009316D" w:rsidRPr="0009316D">
        <w:rPr>
          <w:b/>
        </w:rPr>
        <w:t xml:space="preserve"> and</w:t>
      </w:r>
      <w:r w:rsidR="002B7C71" w:rsidRPr="0009316D">
        <w:rPr>
          <w:b/>
        </w:rPr>
        <w:t xml:space="preserve"> other public officials; </w:t>
      </w:r>
      <w:r w:rsidR="004B7125" w:rsidRPr="0009316D">
        <w:rPr>
          <w:b/>
        </w:rPr>
        <w:t xml:space="preserve">and </w:t>
      </w:r>
      <w:r w:rsidR="001167C4" w:rsidRPr="0009316D">
        <w:rPr>
          <w:b/>
        </w:rPr>
        <w:t xml:space="preserve">ensure prompt, impartial and effective </w:t>
      </w:r>
      <w:r w:rsidR="002B7C71" w:rsidRPr="0009316D">
        <w:rPr>
          <w:b/>
        </w:rPr>
        <w:t xml:space="preserve">investigation and prosecution </w:t>
      </w:r>
      <w:r w:rsidR="00C662C7" w:rsidRPr="0009316D">
        <w:rPr>
          <w:b/>
        </w:rPr>
        <w:t xml:space="preserve">of </w:t>
      </w:r>
      <w:r w:rsidR="002B7C71" w:rsidRPr="0009316D">
        <w:rPr>
          <w:b/>
        </w:rPr>
        <w:t xml:space="preserve">cases of </w:t>
      </w:r>
      <w:r w:rsidR="002B7C71" w:rsidRPr="002B7C71">
        <w:rPr>
          <w:b/>
        </w:rPr>
        <w:t>violence</w:t>
      </w:r>
      <w:r w:rsidR="00D826B1">
        <w:rPr>
          <w:b/>
        </w:rPr>
        <w:t xml:space="preserve"> against </w:t>
      </w:r>
      <w:r w:rsidR="0075009C" w:rsidRPr="00E85591">
        <w:rPr>
          <w:b/>
        </w:rPr>
        <w:t>lesbian, gay, bisexual, transgender and intersex</w:t>
      </w:r>
      <w:r w:rsidR="0075009C" w:rsidDel="0075009C">
        <w:rPr>
          <w:b/>
        </w:rPr>
        <w:t xml:space="preserve"> </w:t>
      </w:r>
      <w:r w:rsidR="00D826B1">
        <w:rPr>
          <w:b/>
        </w:rPr>
        <w:t>persons</w:t>
      </w:r>
      <w:r w:rsidR="002B7C71" w:rsidRPr="002B7C71">
        <w:rPr>
          <w:b/>
        </w:rPr>
        <w:t>.</w:t>
      </w:r>
      <w:proofErr w:type="gramEnd"/>
      <w:r w:rsidR="0027428F">
        <w:rPr>
          <w:b/>
        </w:rPr>
        <w:t xml:space="preserve"> </w:t>
      </w:r>
      <w:r w:rsidR="00B61D25">
        <w:rPr>
          <w:b/>
        </w:rPr>
        <w:t>The Committee</w:t>
      </w:r>
      <w:r w:rsidR="0027428F">
        <w:rPr>
          <w:b/>
        </w:rPr>
        <w:t xml:space="preserve"> draws the attention of the State party to</w:t>
      </w:r>
      <w:r w:rsidR="00045676">
        <w:rPr>
          <w:b/>
        </w:rPr>
        <w:t xml:space="preserve"> </w:t>
      </w:r>
      <w:r w:rsidR="00B61D25">
        <w:rPr>
          <w:b/>
        </w:rPr>
        <w:t>its</w:t>
      </w:r>
      <w:r w:rsidR="00045676">
        <w:rPr>
          <w:b/>
        </w:rPr>
        <w:t xml:space="preserve"> </w:t>
      </w:r>
      <w:r w:rsidR="0027428F">
        <w:rPr>
          <w:b/>
        </w:rPr>
        <w:t>general comment</w:t>
      </w:r>
      <w:r w:rsidR="00752416">
        <w:rPr>
          <w:b/>
        </w:rPr>
        <w:t xml:space="preserve">s </w:t>
      </w:r>
      <w:r w:rsidR="0075009C">
        <w:rPr>
          <w:b/>
        </w:rPr>
        <w:t>N</w:t>
      </w:r>
      <w:r w:rsidR="00752416">
        <w:rPr>
          <w:b/>
        </w:rPr>
        <w:t>o.</w:t>
      </w:r>
      <w:r w:rsidR="00D33D78">
        <w:rPr>
          <w:b/>
        </w:rPr>
        <w:t> </w:t>
      </w:r>
      <w:r w:rsidR="00752416">
        <w:rPr>
          <w:b/>
        </w:rPr>
        <w:t xml:space="preserve">20 (2009) on non-discrimination and </w:t>
      </w:r>
      <w:r w:rsidR="0075009C">
        <w:rPr>
          <w:b/>
        </w:rPr>
        <w:t>N</w:t>
      </w:r>
      <w:r w:rsidR="0027428F">
        <w:rPr>
          <w:b/>
        </w:rPr>
        <w:t>o</w:t>
      </w:r>
      <w:r w:rsidR="00752416">
        <w:rPr>
          <w:b/>
        </w:rPr>
        <w:t>.</w:t>
      </w:r>
      <w:r w:rsidR="0027428F">
        <w:rPr>
          <w:b/>
        </w:rPr>
        <w:t xml:space="preserve"> 2</w:t>
      </w:r>
      <w:r w:rsidR="00B61D25">
        <w:rPr>
          <w:b/>
        </w:rPr>
        <w:t>2 (2016) on sexual and reproductive health</w:t>
      </w:r>
      <w:r w:rsidR="00752416">
        <w:rPr>
          <w:b/>
        </w:rPr>
        <w:t>, in particular para</w:t>
      </w:r>
      <w:r w:rsidR="0075009C">
        <w:rPr>
          <w:b/>
        </w:rPr>
        <w:t>graph</w:t>
      </w:r>
      <w:r w:rsidR="00752416">
        <w:rPr>
          <w:b/>
        </w:rPr>
        <w:t xml:space="preserve"> 23</w:t>
      </w:r>
      <w:r w:rsidR="00045676">
        <w:rPr>
          <w:b/>
        </w:rPr>
        <w:t>.</w:t>
      </w:r>
    </w:p>
    <w:p w14:paraId="6A3FD3FD" w14:textId="27B12F7E" w:rsidR="009D3B03" w:rsidRPr="007C209B" w:rsidRDefault="00A327F2" w:rsidP="00297981">
      <w:pPr>
        <w:pStyle w:val="H23G"/>
        <w:ind w:firstLine="0"/>
      </w:pPr>
      <w:r w:rsidRPr="003D5F40">
        <w:t>Equality between men and women</w:t>
      </w:r>
    </w:p>
    <w:p w14:paraId="3090140B" w14:textId="447AA5C9" w:rsidR="00126F2B" w:rsidRDefault="00306951" w:rsidP="00306951">
      <w:pPr>
        <w:pStyle w:val="SingleTxtG"/>
        <w:tabs>
          <w:tab w:val="left" w:pos="1701"/>
        </w:tabs>
      </w:pPr>
      <w:r>
        <w:t>27.</w:t>
      </w:r>
      <w:r>
        <w:tab/>
      </w:r>
      <w:r w:rsidR="00E7514D">
        <w:rPr>
          <w:rFonts w:hint="eastAsia"/>
        </w:rPr>
        <w:t>T</w:t>
      </w:r>
      <w:r w:rsidR="00E7514D">
        <w:t xml:space="preserve">he Committee is concerned at the disproportionately low </w:t>
      </w:r>
      <w:r w:rsidR="00E7514D" w:rsidRPr="00A63B36">
        <w:t>labour participation and</w:t>
      </w:r>
      <w:r w:rsidR="00E7514D">
        <w:t xml:space="preserve"> employment rate</w:t>
      </w:r>
      <w:r w:rsidR="00D826B1">
        <w:t>s</w:t>
      </w:r>
      <w:r w:rsidR="00E7514D">
        <w:t xml:space="preserve"> among women, particularly Roma </w:t>
      </w:r>
      <w:r w:rsidR="00D826B1">
        <w:t>women</w:t>
      </w:r>
      <w:r w:rsidR="00991942">
        <w:t xml:space="preserve"> and </w:t>
      </w:r>
      <w:r w:rsidR="00D826B1">
        <w:t xml:space="preserve">ethnic </w:t>
      </w:r>
      <w:r w:rsidR="00E7514D">
        <w:t>Albanian women</w:t>
      </w:r>
      <w:r w:rsidR="00126F2B">
        <w:t xml:space="preserve">, as well as at </w:t>
      </w:r>
      <w:r w:rsidR="00E7514D">
        <w:t xml:space="preserve">the </w:t>
      </w:r>
      <w:r w:rsidR="00D826B1">
        <w:t xml:space="preserve">predominance </w:t>
      </w:r>
      <w:r w:rsidR="00E7514D">
        <w:t>of women in unskilled</w:t>
      </w:r>
      <w:r w:rsidR="00D826B1">
        <w:t>/</w:t>
      </w:r>
      <w:r w:rsidR="00E7514D">
        <w:t>underpaid jobs and positions</w:t>
      </w:r>
      <w:r w:rsidR="00126F2B">
        <w:t>.</w:t>
      </w:r>
      <w:r w:rsidR="00E7514D">
        <w:t xml:space="preserve"> </w:t>
      </w:r>
      <w:r w:rsidR="00126F2B">
        <w:t xml:space="preserve">It is also concerned at </w:t>
      </w:r>
      <w:r w:rsidR="00D826B1">
        <w:t xml:space="preserve">the absence of active employment measures targeted at women and </w:t>
      </w:r>
      <w:r w:rsidR="00126F2B">
        <w:t xml:space="preserve">the insufficient level of implementation of the Law on Equal Opportunities of Women and Men </w:t>
      </w:r>
      <w:r w:rsidR="0075009C">
        <w:t xml:space="preserve">of 2012 </w:t>
      </w:r>
      <w:r w:rsidR="00D826B1">
        <w:t>and the National Strategy for Gender Equality 2013-2020</w:t>
      </w:r>
      <w:r w:rsidR="00126F2B">
        <w:t>.</w:t>
      </w:r>
      <w:r w:rsidR="002E5E59">
        <w:t xml:space="preserve"> </w:t>
      </w:r>
      <w:r w:rsidR="00625442">
        <w:t xml:space="preserve">It is further concerned at the large gender pay gap in the State party </w:t>
      </w:r>
      <w:r w:rsidR="002E5E59">
        <w:t>(arts.</w:t>
      </w:r>
      <w:r w:rsidR="00D33D78">
        <w:t> </w:t>
      </w:r>
      <w:r w:rsidR="002E5E59">
        <w:t>3 and</w:t>
      </w:r>
      <w:r w:rsidR="00D33D78">
        <w:t> </w:t>
      </w:r>
      <w:r w:rsidR="002E5E59">
        <w:t>7)</w:t>
      </w:r>
      <w:r w:rsidR="00A53080">
        <w:t>.</w:t>
      </w:r>
      <w:r w:rsidR="00AE3C55">
        <w:t xml:space="preserve"> </w:t>
      </w:r>
    </w:p>
    <w:p w14:paraId="5296C307" w14:textId="76F34A28" w:rsidR="00DF5F43" w:rsidRPr="00126F2B" w:rsidRDefault="00306951" w:rsidP="00306951">
      <w:pPr>
        <w:pStyle w:val="SingleTxtG"/>
        <w:tabs>
          <w:tab w:val="left" w:pos="1701"/>
        </w:tabs>
        <w:rPr>
          <w:b/>
        </w:rPr>
      </w:pPr>
      <w:r w:rsidRPr="00126F2B">
        <w:t>28.</w:t>
      </w:r>
      <w:r w:rsidRPr="00126F2B">
        <w:tab/>
      </w:r>
      <w:r w:rsidR="00DF5F43" w:rsidRPr="00126F2B">
        <w:rPr>
          <w:rFonts w:hint="eastAsia"/>
          <w:b/>
        </w:rPr>
        <w:t>T</w:t>
      </w:r>
      <w:r w:rsidR="00DF5F43" w:rsidRPr="00126F2B">
        <w:rPr>
          <w:b/>
        </w:rPr>
        <w:t xml:space="preserve">he Committee recommends that the State party set </w:t>
      </w:r>
      <w:r w:rsidR="00DF5F43" w:rsidRPr="0009316D">
        <w:rPr>
          <w:b/>
        </w:rPr>
        <w:t>concrete target</w:t>
      </w:r>
      <w:r w:rsidR="00C662C7" w:rsidRPr="0009316D">
        <w:rPr>
          <w:b/>
        </w:rPr>
        <w:t>s</w:t>
      </w:r>
      <w:r w:rsidR="009F1369" w:rsidRPr="0009316D">
        <w:rPr>
          <w:b/>
        </w:rPr>
        <w:t xml:space="preserve"> </w:t>
      </w:r>
      <w:r w:rsidR="002D7990" w:rsidRPr="0009316D">
        <w:rPr>
          <w:b/>
        </w:rPr>
        <w:t xml:space="preserve">and adopt </w:t>
      </w:r>
      <w:r w:rsidR="009F1369" w:rsidRPr="0009316D">
        <w:rPr>
          <w:b/>
        </w:rPr>
        <w:t xml:space="preserve">a </w:t>
      </w:r>
      <w:proofErr w:type="gramStart"/>
      <w:r w:rsidR="009F1369" w:rsidRPr="0009316D">
        <w:rPr>
          <w:b/>
        </w:rPr>
        <w:t>time</w:t>
      </w:r>
      <w:r w:rsidR="00425713">
        <w:rPr>
          <w:b/>
        </w:rPr>
        <w:t xml:space="preserve"> </w:t>
      </w:r>
      <w:r w:rsidR="009F1369" w:rsidRPr="0009316D">
        <w:rPr>
          <w:b/>
        </w:rPr>
        <w:t>frame</w:t>
      </w:r>
      <w:proofErr w:type="gramEnd"/>
      <w:r w:rsidR="00DF5F43" w:rsidRPr="0009316D">
        <w:rPr>
          <w:b/>
        </w:rPr>
        <w:t xml:space="preserve"> </w:t>
      </w:r>
      <w:r w:rsidR="00425713">
        <w:rPr>
          <w:b/>
        </w:rPr>
        <w:t>for</w:t>
      </w:r>
      <w:r w:rsidR="00425713" w:rsidRPr="0009316D">
        <w:rPr>
          <w:b/>
        </w:rPr>
        <w:t xml:space="preserve"> </w:t>
      </w:r>
      <w:r w:rsidR="00DF5F43" w:rsidRPr="0009316D">
        <w:rPr>
          <w:b/>
        </w:rPr>
        <w:t>increas</w:t>
      </w:r>
      <w:r w:rsidR="00425713">
        <w:rPr>
          <w:b/>
        </w:rPr>
        <w:t>ing</w:t>
      </w:r>
      <w:r w:rsidR="00DF5F43" w:rsidRPr="0009316D">
        <w:rPr>
          <w:b/>
        </w:rPr>
        <w:t xml:space="preserve"> women’s </w:t>
      </w:r>
      <w:r w:rsidR="00126F2B" w:rsidRPr="0009316D">
        <w:rPr>
          <w:b/>
        </w:rPr>
        <w:t xml:space="preserve">labour participation and </w:t>
      </w:r>
      <w:r w:rsidR="00DF5F43" w:rsidRPr="0009316D">
        <w:rPr>
          <w:b/>
        </w:rPr>
        <w:t>employment rate</w:t>
      </w:r>
      <w:r w:rsidR="008F284A" w:rsidRPr="0009316D">
        <w:rPr>
          <w:b/>
        </w:rPr>
        <w:t>s</w:t>
      </w:r>
      <w:r w:rsidR="00DF5F43" w:rsidRPr="0009316D">
        <w:rPr>
          <w:b/>
        </w:rPr>
        <w:t xml:space="preserve"> and </w:t>
      </w:r>
      <w:r w:rsidR="00126F2B" w:rsidRPr="0009316D">
        <w:rPr>
          <w:b/>
        </w:rPr>
        <w:t>develop employment programmes targeted at women</w:t>
      </w:r>
      <w:r w:rsidR="0009316D">
        <w:rPr>
          <w:rFonts w:hint="eastAsia"/>
          <w:b/>
          <w:lang w:eastAsia="ko-KR"/>
        </w:rPr>
        <w:t>, paying special attention to ethnic minorities</w:t>
      </w:r>
      <w:r w:rsidR="00126F2B" w:rsidRPr="0009316D">
        <w:rPr>
          <w:b/>
        </w:rPr>
        <w:t xml:space="preserve">. It also recommends </w:t>
      </w:r>
      <w:r w:rsidR="00126F2B" w:rsidRPr="00126F2B">
        <w:rPr>
          <w:b/>
        </w:rPr>
        <w:t xml:space="preserve">that the State party </w:t>
      </w:r>
      <w:r w:rsidR="00DF5F43" w:rsidRPr="00126F2B">
        <w:rPr>
          <w:b/>
        </w:rPr>
        <w:t xml:space="preserve">intensify its efforts </w:t>
      </w:r>
      <w:proofErr w:type="gramStart"/>
      <w:r w:rsidR="00DF5F43" w:rsidRPr="00126F2B">
        <w:rPr>
          <w:b/>
        </w:rPr>
        <w:t>to fully implement</w:t>
      </w:r>
      <w:proofErr w:type="gramEnd"/>
      <w:r w:rsidR="00DF5F43" w:rsidRPr="00126F2B">
        <w:rPr>
          <w:b/>
        </w:rPr>
        <w:t xml:space="preserve"> the Law on Equal Opportunities of Women and Men </w:t>
      </w:r>
      <w:r w:rsidR="00D826B1">
        <w:rPr>
          <w:b/>
        </w:rPr>
        <w:t xml:space="preserve">and </w:t>
      </w:r>
      <w:r w:rsidR="00D826B1" w:rsidRPr="00D826B1">
        <w:rPr>
          <w:b/>
        </w:rPr>
        <w:t>the National Strategy for Gender Equality 2013-2020</w:t>
      </w:r>
      <w:r w:rsidR="00DF5F43" w:rsidRPr="00126F2B">
        <w:rPr>
          <w:b/>
        </w:rPr>
        <w:t xml:space="preserve">, including </w:t>
      </w:r>
      <w:r w:rsidR="00AE3C55">
        <w:rPr>
          <w:b/>
        </w:rPr>
        <w:t>by</w:t>
      </w:r>
      <w:r w:rsidR="00AE3C55" w:rsidRPr="00126F2B">
        <w:rPr>
          <w:b/>
        </w:rPr>
        <w:t xml:space="preserve"> </w:t>
      </w:r>
      <w:r w:rsidR="00DF5F43" w:rsidRPr="00126F2B">
        <w:rPr>
          <w:b/>
        </w:rPr>
        <w:t xml:space="preserve">allocating sufficient resources for </w:t>
      </w:r>
      <w:r w:rsidR="00C36EEF">
        <w:rPr>
          <w:b/>
        </w:rPr>
        <w:t xml:space="preserve">its </w:t>
      </w:r>
      <w:r w:rsidR="00DF5F43" w:rsidRPr="00126F2B">
        <w:rPr>
          <w:b/>
        </w:rPr>
        <w:t xml:space="preserve">implementation. </w:t>
      </w:r>
      <w:r w:rsidR="00625442">
        <w:rPr>
          <w:b/>
        </w:rPr>
        <w:t>It further</w:t>
      </w:r>
      <w:r w:rsidR="00625442" w:rsidRPr="00DF5F43">
        <w:rPr>
          <w:b/>
        </w:rPr>
        <w:t xml:space="preserve"> recommends that the State party </w:t>
      </w:r>
      <w:r w:rsidR="009F1369">
        <w:rPr>
          <w:b/>
        </w:rPr>
        <w:t>take effective measures</w:t>
      </w:r>
      <w:r w:rsidR="00625442">
        <w:rPr>
          <w:b/>
        </w:rPr>
        <w:t xml:space="preserve"> to</w:t>
      </w:r>
      <w:r w:rsidR="00625442" w:rsidRPr="00DF5F43">
        <w:rPr>
          <w:b/>
        </w:rPr>
        <w:t xml:space="preserve"> narrow the gender pay gap</w:t>
      </w:r>
      <w:r w:rsidR="00625442">
        <w:rPr>
          <w:b/>
        </w:rPr>
        <w:t>.</w:t>
      </w:r>
    </w:p>
    <w:p w14:paraId="43DEC284" w14:textId="34553647" w:rsidR="009D3B03" w:rsidRPr="007C209B" w:rsidRDefault="009D3B03" w:rsidP="002E4E24">
      <w:pPr>
        <w:pStyle w:val="H23G"/>
        <w:ind w:firstLine="0"/>
      </w:pPr>
      <w:r w:rsidRPr="00D628B6">
        <w:t>Unemployment</w:t>
      </w:r>
    </w:p>
    <w:p w14:paraId="53D927EE" w14:textId="3036E630" w:rsidR="009D3B03" w:rsidRPr="0009316D" w:rsidRDefault="00306951" w:rsidP="00306951">
      <w:pPr>
        <w:pStyle w:val="SingleTxtG"/>
        <w:tabs>
          <w:tab w:val="left" w:pos="1701"/>
        </w:tabs>
      </w:pPr>
      <w:r w:rsidRPr="0009316D">
        <w:t>29.</w:t>
      </w:r>
      <w:r w:rsidRPr="0009316D">
        <w:tab/>
      </w:r>
      <w:r w:rsidR="00C1000D">
        <w:t xml:space="preserve">The Committee is </w:t>
      </w:r>
      <w:r w:rsidR="00C1000D" w:rsidRPr="0009316D">
        <w:t>concerned</w:t>
      </w:r>
      <w:r w:rsidR="00E7514D" w:rsidRPr="0009316D">
        <w:t xml:space="preserve"> that </w:t>
      </w:r>
      <w:r w:rsidR="00C662C7" w:rsidRPr="0009316D">
        <w:t xml:space="preserve">despite </w:t>
      </w:r>
      <w:r w:rsidR="00AE3C55">
        <w:t>having decreased</w:t>
      </w:r>
      <w:r w:rsidR="00C662C7" w:rsidRPr="0009316D">
        <w:t xml:space="preserve"> in recent years, </w:t>
      </w:r>
      <w:r w:rsidR="00AC42D6" w:rsidRPr="0009316D">
        <w:t>unemployment remains high, particularly among youth, women, Roma and persons with disabilities, and that the majority of work opportunities are in the informal economy</w:t>
      </w:r>
      <w:r w:rsidR="00961E99" w:rsidRPr="0009316D">
        <w:t xml:space="preserve"> (art.</w:t>
      </w:r>
      <w:r w:rsidR="00D33D78">
        <w:t> </w:t>
      </w:r>
      <w:r w:rsidR="00961E99" w:rsidRPr="0009316D">
        <w:t>6)</w:t>
      </w:r>
      <w:r w:rsidR="00A53080">
        <w:t>.</w:t>
      </w:r>
    </w:p>
    <w:p w14:paraId="4CDDB777" w14:textId="094B6D55" w:rsidR="00C1000D" w:rsidRPr="0009316D" w:rsidRDefault="00306951" w:rsidP="00306951">
      <w:pPr>
        <w:pStyle w:val="SingleTxtG"/>
        <w:tabs>
          <w:tab w:val="left" w:pos="1701"/>
        </w:tabs>
        <w:rPr>
          <w:b/>
        </w:rPr>
      </w:pPr>
      <w:proofErr w:type="gramStart"/>
      <w:r w:rsidRPr="0009316D">
        <w:t>30.</w:t>
      </w:r>
      <w:r w:rsidRPr="0009316D">
        <w:tab/>
      </w:r>
      <w:r w:rsidR="00AC42D6" w:rsidRPr="0009316D">
        <w:rPr>
          <w:b/>
        </w:rPr>
        <w:t>The Committee recommends that the State party intensify its efforts to upgrade the vocational skills of the workforce to meet the needs of the labour market; create decent job opportunities, including through implementation of the Active Labour Market Programmes; develop and implement special measures to promote the employment of youth, women</w:t>
      </w:r>
      <w:r w:rsidR="00C662C7" w:rsidRPr="0009316D">
        <w:rPr>
          <w:b/>
        </w:rPr>
        <w:t xml:space="preserve">, </w:t>
      </w:r>
      <w:r w:rsidR="00AC42D6" w:rsidRPr="0009316D">
        <w:rPr>
          <w:b/>
        </w:rPr>
        <w:t>persons with disabilities and Roma, including through quota systems</w:t>
      </w:r>
      <w:r w:rsidR="00F45C14" w:rsidRPr="0009316D">
        <w:rPr>
          <w:b/>
        </w:rPr>
        <w:t>; and provide</w:t>
      </w:r>
      <w:r w:rsidR="00AC42D6" w:rsidRPr="0009316D">
        <w:rPr>
          <w:b/>
        </w:rPr>
        <w:t xml:space="preserve"> reasonable accommodation for persons with disabilities.</w:t>
      </w:r>
      <w:proofErr w:type="gramEnd"/>
      <w:r w:rsidR="009F1369" w:rsidRPr="0009316D">
        <w:rPr>
          <w:b/>
        </w:rPr>
        <w:t xml:space="preserve"> It also recommends that the State party </w:t>
      </w:r>
      <w:r w:rsidR="00045676">
        <w:rPr>
          <w:b/>
        </w:rPr>
        <w:t xml:space="preserve">ensure </w:t>
      </w:r>
      <w:r w:rsidR="00AE3C55">
        <w:rPr>
          <w:b/>
        </w:rPr>
        <w:t xml:space="preserve">that </w:t>
      </w:r>
      <w:r w:rsidR="00045676">
        <w:rPr>
          <w:b/>
        </w:rPr>
        <w:t xml:space="preserve">workers in the informal economy </w:t>
      </w:r>
      <w:proofErr w:type="gramStart"/>
      <w:r w:rsidR="00B61D25">
        <w:rPr>
          <w:b/>
        </w:rPr>
        <w:t>are protected</w:t>
      </w:r>
      <w:proofErr w:type="gramEnd"/>
      <w:r w:rsidR="00B61D25">
        <w:rPr>
          <w:b/>
        </w:rPr>
        <w:t xml:space="preserve"> under labour legislation and </w:t>
      </w:r>
      <w:r w:rsidR="00045676">
        <w:rPr>
          <w:b/>
        </w:rPr>
        <w:t xml:space="preserve">enjoy </w:t>
      </w:r>
      <w:r w:rsidR="00A17506">
        <w:rPr>
          <w:b/>
        </w:rPr>
        <w:t xml:space="preserve">their rights to </w:t>
      </w:r>
      <w:r w:rsidR="00045676">
        <w:rPr>
          <w:b/>
        </w:rPr>
        <w:t xml:space="preserve">fair and favourable conditions of work and </w:t>
      </w:r>
      <w:r w:rsidR="00A17506">
        <w:rPr>
          <w:b/>
        </w:rPr>
        <w:t xml:space="preserve">to </w:t>
      </w:r>
      <w:r w:rsidR="00045676">
        <w:rPr>
          <w:b/>
        </w:rPr>
        <w:t>social security</w:t>
      </w:r>
      <w:r w:rsidR="00A17506">
        <w:rPr>
          <w:b/>
        </w:rPr>
        <w:t>,</w:t>
      </w:r>
      <w:r w:rsidR="00045676">
        <w:rPr>
          <w:b/>
        </w:rPr>
        <w:t xml:space="preserve"> and </w:t>
      </w:r>
      <w:r w:rsidR="009F1369" w:rsidRPr="0009316D">
        <w:rPr>
          <w:b/>
        </w:rPr>
        <w:t xml:space="preserve">intensify its efforts to </w:t>
      </w:r>
      <w:r w:rsidR="00B61D25">
        <w:rPr>
          <w:b/>
        </w:rPr>
        <w:t xml:space="preserve">facilitate the transition from </w:t>
      </w:r>
      <w:r w:rsidR="00C662C7" w:rsidRPr="0009316D">
        <w:rPr>
          <w:b/>
        </w:rPr>
        <w:t xml:space="preserve">the informal </w:t>
      </w:r>
      <w:r w:rsidR="009F1369" w:rsidRPr="0009316D">
        <w:rPr>
          <w:b/>
        </w:rPr>
        <w:t>economy</w:t>
      </w:r>
      <w:r w:rsidR="00045676">
        <w:rPr>
          <w:b/>
        </w:rPr>
        <w:t xml:space="preserve"> to the formal economy</w:t>
      </w:r>
      <w:r w:rsidR="004931C0">
        <w:rPr>
          <w:b/>
        </w:rPr>
        <w:t>.</w:t>
      </w:r>
    </w:p>
    <w:p w14:paraId="52850215" w14:textId="0959D060" w:rsidR="009D3B03" w:rsidRPr="007C209B" w:rsidRDefault="009D3B03" w:rsidP="002E4E24">
      <w:pPr>
        <w:pStyle w:val="H23G"/>
        <w:ind w:firstLine="0"/>
      </w:pPr>
      <w:r w:rsidRPr="007C209B">
        <w:t>Minimum wages</w:t>
      </w:r>
    </w:p>
    <w:p w14:paraId="1A44835B" w14:textId="452994EE" w:rsidR="005D28FF" w:rsidRDefault="00306951" w:rsidP="00306951">
      <w:pPr>
        <w:pStyle w:val="SingleTxtG"/>
        <w:tabs>
          <w:tab w:val="left" w:pos="1701"/>
        </w:tabs>
      </w:pPr>
      <w:r>
        <w:t>31.</w:t>
      </w:r>
      <w:r>
        <w:tab/>
      </w:r>
      <w:r w:rsidR="007F0ECC">
        <w:t>While</w:t>
      </w:r>
      <w:r w:rsidR="0006159A">
        <w:t xml:space="preserve"> welcoming the adoption of</w:t>
      </w:r>
      <w:r w:rsidR="0091769B">
        <w:t xml:space="preserve"> the Law</w:t>
      </w:r>
      <w:r w:rsidR="00AE3C55">
        <w:t xml:space="preserve"> </w:t>
      </w:r>
      <w:r w:rsidR="00425713">
        <w:t>on the Minimum Wage</w:t>
      </w:r>
      <w:r w:rsidR="0006159A">
        <w:t>, the Committee is</w:t>
      </w:r>
      <w:r w:rsidR="00011548">
        <w:t xml:space="preserve"> concerned </w:t>
      </w:r>
      <w:r w:rsidR="00E27C22">
        <w:t>that</w:t>
      </w:r>
      <w:r w:rsidR="00860F19">
        <w:t xml:space="preserve"> the payment of minimum wage</w:t>
      </w:r>
      <w:r w:rsidR="00E27C22">
        <w:t xml:space="preserve"> </w:t>
      </w:r>
      <w:proofErr w:type="gramStart"/>
      <w:r w:rsidR="00E27C22">
        <w:t>is made</w:t>
      </w:r>
      <w:proofErr w:type="gramEnd"/>
      <w:r w:rsidR="00E27C22">
        <w:t xml:space="preserve"> conditional on compliance with the</w:t>
      </w:r>
      <w:r w:rsidR="00860F19">
        <w:t xml:space="preserve"> “accomplished norm” provided for in article 2</w:t>
      </w:r>
      <w:r w:rsidR="0009316D">
        <w:t xml:space="preserve"> of the Law</w:t>
      </w:r>
      <w:r w:rsidR="00860F19">
        <w:t xml:space="preserve">. It is further concerned </w:t>
      </w:r>
      <w:r w:rsidR="00011548">
        <w:t xml:space="preserve">that </w:t>
      </w:r>
      <w:r w:rsidR="005D28FF">
        <w:t xml:space="preserve">the minimum wage applied </w:t>
      </w:r>
      <w:r w:rsidR="0006159A">
        <w:t>in the</w:t>
      </w:r>
      <w:r w:rsidR="005D28FF">
        <w:t xml:space="preserve"> textile</w:t>
      </w:r>
      <w:r w:rsidR="00B92105">
        <w:t>, garment</w:t>
      </w:r>
      <w:r w:rsidR="005D28FF">
        <w:t xml:space="preserve"> and leather industries </w:t>
      </w:r>
      <w:r w:rsidR="00E264E8">
        <w:t>is lower than in other sectors</w:t>
      </w:r>
      <w:r w:rsidR="00C662C7">
        <w:t>.</w:t>
      </w:r>
      <w:r w:rsidR="00E264E8">
        <w:t xml:space="preserve"> </w:t>
      </w:r>
      <w:proofErr w:type="gramStart"/>
      <w:r w:rsidR="00AE3C55">
        <w:t xml:space="preserve">As </w:t>
      </w:r>
      <w:r w:rsidR="005D28FF">
        <w:t xml:space="preserve">women </w:t>
      </w:r>
      <w:r w:rsidR="00E264E8">
        <w:t xml:space="preserve">are overrepresented in these </w:t>
      </w:r>
      <w:r w:rsidR="00AE14D3">
        <w:t xml:space="preserve">industries, this leads to indirect discrimination against </w:t>
      </w:r>
      <w:r w:rsidR="00372864">
        <w:t>women</w:t>
      </w:r>
      <w:r w:rsidR="00011548">
        <w:t>.</w:t>
      </w:r>
      <w:proofErr w:type="gramEnd"/>
      <w:r w:rsidR="00011548">
        <w:t xml:space="preserve"> </w:t>
      </w:r>
      <w:r w:rsidR="00AE14D3">
        <w:t xml:space="preserve">The Committee </w:t>
      </w:r>
      <w:r w:rsidR="00011548">
        <w:t>is further concerned that</w:t>
      </w:r>
      <w:r w:rsidR="0091769B">
        <w:t xml:space="preserve"> </w:t>
      </w:r>
      <w:r w:rsidR="00011548">
        <w:t xml:space="preserve">the </w:t>
      </w:r>
      <w:r w:rsidR="00AC42D6">
        <w:t xml:space="preserve">amount </w:t>
      </w:r>
      <w:r w:rsidR="005D28FF">
        <w:t xml:space="preserve">of </w:t>
      </w:r>
      <w:r w:rsidR="00F53310">
        <w:t xml:space="preserve">the </w:t>
      </w:r>
      <w:r w:rsidR="005D28FF">
        <w:t xml:space="preserve">minimum wages </w:t>
      </w:r>
      <w:r w:rsidR="00011548">
        <w:t xml:space="preserve">is not sufficient </w:t>
      </w:r>
      <w:r w:rsidR="0091769B">
        <w:t>to ensure a decent living for workers and their families (art.</w:t>
      </w:r>
      <w:r w:rsidR="00D33D78">
        <w:t> </w:t>
      </w:r>
      <w:r w:rsidR="0091769B">
        <w:t>7)</w:t>
      </w:r>
      <w:r w:rsidR="005D28FF">
        <w:t>.</w:t>
      </w:r>
      <w:r w:rsidR="00AE3C55">
        <w:t xml:space="preserve"> </w:t>
      </w:r>
    </w:p>
    <w:p w14:paraId="2CC6A38F" w14:textId="62877773" w:rsidR="0091769B" w:rsidRDefault="00306951" w:rsidP="00306951">
      <w:pPr>
        <w:pStyle w:val="SingleTxtG"/>
        <w:tabs>
          <w:tab w:val="left" w:pos="1701"/>
        </w:tabs>
        <w:rPr>
          <w:b/>
        </w:rPr>
      </w:pPr>
      <w:r>
        <w:t>32.</w:t>
      </w:r>
      <w:r>
        <w:tab/>
      </w:r>
      <w:r w:rsidR="005D28FF" w:rsidRPr="0091769B">
        <w:rPr>
          <w:b/>
        </w:rPr>
        <w:t xml:space="preserve">The Committee recommends that the State party </w:t>
      </w:r>
      <w:r w:rsidR="0091769B" w:rsidRPr="0091769B">
        <w:rPr>
          <w:b/>
        </w:rPr>
        <w:t xml:space="preserve">bring the Law </w:t>
      </w:r>
      <w:r w:rsidR="00425713">
        <w:rPr>
          <w:b/>
        </w:rPr>
        <w:t xml:space="preserve">on the </w:t>
      </w:r>
      <w:r w:rsidR="00425713" w:rsidRPr="0091769B">
        <w:rPr>
          <w:b/>
        </w:rPr>
        <w:t xml:space="preserve">Minimum Wage </w:t>
      </w:r>
      <w:r w:rsidR="0091769B" w:rsidRPr="0091769B">
        <w:rPr>
          <w:b/>
        </w:rPr>
        <w:t>in</w:t>
      </w:r>
      <w:r w:rsidR="00AE3C55">
        <w:rPr>
          <w:b/>
        </w:rPr>
        <w:t>to</w:t>
      </w:r>
      <w:r w:rsidR="0091769B" w:rsidRPr="0091769B">
        <w:rPr>
          <w:b/>
        </w:rPr>
        <w:t xml:space="preserve"> line with the Covenant and the Minimum Wage Fixing Convention</w:t>
      </w:r>
      <w:r w:rsidR="00AE3C55">
        <w:rPr>
          <w:b/>
        </w:rPr>
        <w:t>, 1970</w:t>
      </w:r>
      <w:r w:rsidR="0091769B" w:rsidRPr="0091769B">
        <w:rPr>
          <w:b/>
        </w:rPr>
        <w:t xml:space="preserve"> </w:t>
      </w:r>
      <w:r w:rsidR="00AE3C55">
        <w:rPr>
          <w:b/>
        </w:rPr>
        <w:t>(</w:t>
      </w:r>
      <w:r w:rsidR="0091769B" w:rsidRPr="0091769B">
        <w:rPr>
          <w:b/>
        </w:rPr>
        <w:t>No. 131</w:t>
      </w:r>
      <w:r w:rsidR="00AE3C55">
        <w:rPr>
          <w:b/>
        </w:rPr>
        <w:t>) of the International Labour Organization (ILO)</w:t>
      </w:r>
      <w:r w:rsidR="00011548">
        <w:rPr>
          <w:b/>
        </w:rPr>
        <w:t>. It also recommends that the State party</w:t>
      </w:r>
      <w:r w:rsidR="00BA6555">
        <w:rPr>
          <w:b/>
        </w:rPr>
        <w:t xml:space="preserve"> </w:t>
      </w:r>
      <w:r w:rsidR="007D3F80">
        <w:rPr>
          <w:b/>
        </w:rPr>
        <w:t xml:space="preserve">immediately </w:t>
      </w:r>
      <w:r w:rsidR="0091769B" w:rsidRPr="0009316D">
        <w:rPr>
          <w:b/>
        </w:rPr>
        <w:t xml:space="preserve">apply the same level of minimum wage </w:t>
      </w:r>
      <w:r w:rsidR="004758D8" w:rsidRPr="0009316D">
        <w:rPr>
          <w:b/>
        </w:rPr>
        <w:t xml:space="preserve">across </w:t>
      </w:r>
      <w:r w:rsidR="00BA6555" w:rsidRPr="0009316D">
        <w:rPr>
          <w:b/>
        </w:rPr>
        <w:t xml:space="preserve">all sectors, including </w:t>
      </w:r>
      <w:r w:rsidR="00AE3C55">
        <w:rPr>
          <w:b/>
        </w:rPr>
        <w:t xml:space="preserve">the </w:t>
      </w:r>
      <w:r w:rsidR="0091769B" w:rsidRPr="0009316D">
        <w:rPr>
          <w:b/>
        </w:rPr>
        <w:t xml:space="preserve">textile, </w:t>
      </w:r>
      <w:r w:rsidR="00B92105" w:rsidRPr="0009316D">
        <w:rPr>
          <w:b/>
        </w:rPr>
        <w:t xml:space="preserve">garment </w:t>
      </w:r>
      <w:r w:rsidR="0091769B" w:rsidRPr="0009316D">
        <w:rPr>
          <w:b/>
        </w:rPr>
        <w:t xml:space="preserve">and </w:t>
      </w:r>
      <w:r w:rsidR="00B92105" w:rsidRPr="0009316D">
        <w:rPr>
          <w:b/>
        </w:rPr>
        <w:t xml:space="preserve">leather </w:t>
      </w:r>
      <w:r w:rsidR="0091769B" w:rsidRPr="0009316D">
        <w:rPr>
          <w:b/>
        </w:rPr>
        <w:t>industries</w:t>
      </w:r>
      <w:r w:rsidR="00011548" w:rsidRPr="0009316D">
        <w:rPr>
          <w:b/>
        </w:rPr>
        <w:t>. It further recommends that the State party</w:t>
      </w:r>
      <w:r w:rsidR="0091769B" w:rsidRPr="0009316D">
        <w:rPr>
          <w:b/>
        </w:rPr>
        <w:t xml:space="preserve"> increase </w:t>
      </w:r>
      <w:r w:rsidR="00C662C7" w:rsidRPr="0009316D">
        <w:rPr>
          <w:b/>
        </w:rPr>
        <w:t xml:space="preserve">the </w:t>
      </w:r>
      <w:r w:rsidR="0091769B" w:rsidRPr="0009316D">
        <w:rPr>
          <w:b/>
        </w:rPr>
        <w:t xml:space="preserve">minimum wages </w:t>
      </w:r>
      <w:r w:rsidR="00BA6555" w:rsidRPr="0009316D">
        <w:rPr>
          <w:b/>
        </w:rPr>
        <w:t xml:space="preserve">and regularly adjust </w:t>
      </w:r>
      <w:r w:rsidR="00C662C7" w:rsidRPr="0009316D">
        <w:rPr>
          <w:b/>
        </w:rPr>
        <w:t xml:space="preserve">them </w:t>
      </w:r>
      <w:r w:rsidR="00BA6555" w:rsidRPr="0009316D">
        <w:rPr>
          <w:b/>
        </w:rPr>
        <w:t xml:space="preserve">to the cost of living </w:t>
      </w:r>
      <w:proofErr w:type="gramStart"/>
      <w:r w:rsidR="00BA6555" w:rsidRPr="0009316D">
        <w:rPr>
          <w:b/>
        </w:rPr>
        <w:t>so as to</w:t>
      </w:r>
      <w:proofErr w:type="gramEnd"/>
      <w:r w:rsidR="0091769B" w:rsidRPr="0009316D">
        <w:rPr>
          <w:b/>
        </w:rPr>
        <w:t xml:space="preserve"> ensure an adequate standard of living for workers and their families. </w:t>
      </w:r>
      <w:r w:rsidR="0091769B" w:rsidRPr="0091769B">
        <w:rPr>
          <w:b/>
        </w:rPr>
        <w:t xml:space="preserve">The Committee draws the attention of the State party to its general comment </w:t>
      </w:r>
      <w:r w:rsidR="00AE3C55">
        <w:rPr>
          <w:b/>
        </w:rPr>
        <w:t>N</w:t>
      </w:r>
      <w:r w:rsidR="0091769B" w:rsidRPr="0091769B">
        <w:rPr>
          <w:b/>
        </w:rPr>
        <w:t>o. 23 (2016) on the right to just and favourable conditions of work.</w:t>
      </w:r>
    </w:p>
    <w:p w14:paraId="627BE543" w14:textId="500DB829" w:rsidR="00625442" w:rsidRDefault="00625442" w:rsidP="00625442">
      <w:pPr>
        <w:pStyle w:val="H23G"/>
        <w:ind w:firstLine="0"/>
      </w:pPr>
      <w:r>
        <w:t>Equal remuneration for work of equal value</w:t>
      </w:r>
    </w:p>
    <w:p w14:paraId="4617230A" w14:textId="1CAC52F7" w:rsidR="00625442" w:rsidRPr="0009316D" w:rsidRDefault="00306951" w:rsidP="00306951">
      <w:pPr>
        <w:pStyle w:val="SingleTxtG"/>
        <w:tabs>
          <w:tab w:val="left" w:pos="1701"/>
        </w:tabs>
      </w:pPr>
      <w:proofErr w:type="gramStart"/>
      <w:r w:rsidRPr="0009316D">
        <w:t>33.</w:t>
      </w:r>
      <w:r w:rsidRPr="0009316D">
        <w:tab/>
      </w:r>
      <w:r w:rsidR="00625442">
        <w:t xml:space="preserve">The Committee is concerned </w:t>
      </w:r>
      <w:r w:rsidR="000B2571">
        <w:t xml:space="preserve">that </w:t>
      </w:r>
      <w:r w:rsidR="00625442">
        <w:t xml:space="preserve">the principle of equal remuneration for </w:t>
      </w:r>
      <w:r w:rsidR="001B5FD7">
        <w:t>“</w:t>
      </w:r>
      <w:r w:rsidR="00152372">
        <w:t>equal work</w:t>
      </w:r>
      <w:r w:rsidR="00624D0A">
        <w:t xml:space="preserve"> with equal responsibilities in the same job position, regardless of gender</w:t>
      </w:r>
      <w:r w:rsidR="001B5FD7">
        <w:t>”</w:t>
      </w:r>
      <w:r w:rsidR="00625442">
        <w:t xml:space="preserve"> </w:t>
      </w:r>
      <w:r w:rsidR="000B2571">
        <w:t xml:space="preserve">provided for in article 108 of the Law on Labour Relations of 2005 </w:t>
      </w:r>
      <w:r w:rsidR="00B61D25">
        <w:t xml:space="preserve">is </w:t>
      </w:r>
      <w:r w:rsidR="00625442">
        <w:t xml:space="preserve">not </w:t>
      </w:r>
      <w:r w:rsidR="000B2571">
        <w:t xml:space="preserve">fully </w:t>
      </w:r>
      <w:r w:rsidR="00B61D25">
        <w:t xml:space="preserve">in line </w:t>
      </w:r>
      <w:r w:rsidR="00625442">
        <w:t>with the Covenant</w:t>
      </w:r>
      <w:r w:rsidR="00624D0A">
        <w:t xml:space="preserve">, which requires </w:t>
      </w:r>
      <w:r w:rsidR="00A839D1">
        <w:t>compliance with</w:t>
      </w:r>
      <w:r w:rsidR="00624D0A">
        <w:t xml:space="preserve"> </w:t>
      </w:r>
      <w:r w:rsidR="00A839D1">
        <w:t xml:space="preserve">the principle of </w:t>
      </w:r>
      <w:r w:rsidR="00624D0A">
        <w:t xml:space="preserve">equal remuneration </w:t>
      </w:r>
      <w:r w:rsidR="00A839D1">
        <w:t>for work of equal value</w:t>
      </w:r>
      <w:r w:rsidR="00625442">
        <w:t xml:space="preserve"> (art. 7)</w:t>
      </w:r>
      <w:r w:rsidR="00A53080">
        <w:t>.</w:t>
      </w:r>
      <w:proofErr w:type="gramEnd"/>
    </w:p>
    <w:p w14:paraId="2A38DCD0" w14:textId="349A69F8" w:rsidR="00625442" w:rsidRDefault="00306951" w:rsidP="00306951">
      <w:pPr>
        <w:pStyle w:val="SingleTxtG"/>
        <w:tabs>
          <w:tab w:val="left" w:pos="1701"/>
        </w:tabs>
        <w:rPr>
          <w:b/>
        </w:rPr>
      </w:pPr>
      <w:r w:rsidRPr="00306951">
        <w:t>34.</w:t>
      </w:r>
      <w:r w:rsidRPr="00306951">
        <w:tab/>
      </w:r>
      <w:r w:rsidR="00625442" w:rsidRPr="0009316D">
        <w:rPr>
          <w:b/>
        </w:rPr>
        <w:t xml:space="preserve">The Committee recommends that the State party </w:t>
      </w:r>
      <w:r w:rsidR="000B2571" w:rsidRPr="0009316D">
        <w:rPr>
          <w:b/>
        </w:rPr>
        <w:t xml:space="preserve">review </w:t>
      </w:r>
      <w:r w:rsidR="00625442" w:rsidRPr="0009316D">
        <w:rPr>
          <w:b/>
        </w:rPr>
        <w:t xml:space="preserve">article 8 of the Law on Labour Relations </w:t>
      </w:r>
      <w:r w:rsidR="000B2571" w:rsidRPr="0009316D">
        <w:rPr>
          <w:b/>
        </w:rPr>
        <w:t xml:space="preserve">with a view to bringing it </w:t>
      </w:r>
      <w:r w:rsidR="00687B21">
        <w:rPr>
          <w:b/>
        </w:rPr>
        <w:t xml:space="preserve">fully </w:t>
      </w:r>
      <w:r w:rsidR="000B2571" w:rsidRPr="0009316D">
        <w:rPr>
          <w:b/>
        </w:rPr>
        <w:t>in</w:t>
      </w:r>
      <w:r w:rsidR="008B65B9">
        <w:rPr>
          <w:b/>
        </w:rPr>
        <w:t>to</w:t>
      </w:r>
      <w:r w:rsidR="000B2571" w:rsidRPr="0009316D">
        <w:rPr>
          <w:b/>
        </w:rPr>
        <w:t xml:space="preserve"> line with</w:t>
      </w:r>
      <w:r w:rsidR="00625442" w:rsidRPr="0009316D">
        <w:rPr>
          <w:b/>
        </w:rPr>
        <w:t xml:space="preserve"> the Covenant</w:t>
      </w:r>
      <w:r w:rsidR="00991942">
        <w:rPr>
          <w:b/>
        </w:rPr>
        <w:t xml:space="preserve">. </w:t>
      </w:r>
      <w:r w:rsidR="00B61D25">
        <w:rPr>
          <w:b/>
        </w:rPr>
        <w:t>T</w:t>
      </w:r>
      <w:r w:rsidR="00991942">
        <w:rPr>
          <w:b/>
        </w:rPr>
        <w:t xml:space="preserve">he </w:t>
      </w:r>
      <w:r w:rsidR="008B65B9">
        <w:rPr>
          <w:b/>
        </w:rPr>
        <w:t xml:space="preserve">attention of the </w:t>
      </w:r>
      <w:r w:rsidR="00991942">
        <w:rPr>
          <w:b/>
        </w:rPr>
        <w:t xml:space="preserve">State party </w:t>
      </w:r>
      <w:proofErr w:type="gramStart"/>
      <w:r w:rsidR="00B61D25">
        <w:rPr>
          <w:b/>
        </w:rPr>
        <w:t xml:space="preserve">is </w:t>
      </w:r>
      <w:r w:rsidR="008B65B9">
        <w:rPr>
          <w:b/>
        </w:rPr>
        <w:t xml:space="preserve">again </w:t>
      </w:r>
      <w:r w:rsidR="00B61D25">
        <w:rPr>
          <w:b/>
        </w:rPr>
        <w:t>referred</w:t>
      </w:r>
      <w:proofErr w:type="gramEnd"/>
      <w:r w:rsidR="00B61D25">
        <w:rPr>
          <w:b/>
        </w:rPr>
        <w:t xml:space="preserve"> to</w:t>
      </w:r>
      <w:r w:rsidR="00C662C7" w:rsidRPr="0009316D">
        <w:rPr>
          <w:b/>
        </w:rPr>
        <w:t xml:space="preserve"> </w:t>
      </w:r>
      <w:r w:rsidR="00DD16FA" w:rsidRPr="0009316D">
        <w:rPr>
          <w:b/>
        </w:rPr>
        <w:t xml:space="preserve">general comment </w:t>
      </w:r>
      <w:r w:rsidR="008B65B9">
        <w:rPr>
          <w:b/>
        </w:rPr>
        <w:t>N</w:t>
      </w:r>
      <w:r w:rsidR="0045234F" w:rsidRPr="0009316D">
        <w:rPr>
          <w:b/>
        </w:rPr>
        <w:t>o</w:t>
      </w:r>
      <w:r w:rsidR="00DD16FA" w:rsidRPr="0009316D">
        <w:rPr>
          <w:b/>
        </w:rPr>
        <w:t>. 23 (2016)</w:t>
      </w:r>
      <w:r w:rsidR="00B417FE">
        <w:rPr>
          <w:b/>
        </w:rPr>
        <w:t>.</w:t>
      </w:r>
    </w:p>
    <w:p w14:paraId="4A383B50" w14:textId="731E7009" w:rsidR="00B417FE" w:rsidRPr="0009316D" w:rsidRDefault="00B417FE" w:rsidP="00B417FE">
      <w:pPr>
        <w:pStyle w:val="H23G"/>
        <w:ind w:firstLine="0"/>
      </w:pPr>
      <w:r>
        <w:t>Trade union rights</w:t>
      </w:r>
    </w:p>
    <w:p w14:paraId="2E737E30" w14:textId="19F7863B" w:rsidR="00B417FE" w:rsidRDefault="00B417FE" w:rsidP="00306951">
      <w:pPr>
        <w:pStyle w:val="SingleTxtG"/>
        <w:tabs>
          <w:tab w:val="left" w:pos="1701"/>
        </w:tabs>
        <w:rPr>
          <w:lang w:eastAsia="ko-KR"/>
        </w:rPr>
      </w:pPr>
      <w:r w:rsidRPr="00B417FE">
        <w:t>35</w:t>
      </w:r>
      <w:r>
        <w:t>.</w:t>
      </w:r>
      <w:r>
        <w:tab/>
      </w:r>
      <w:r w:rsidRPr="00B417FE">
        <w:rPr>
          <w:lang w:eastAsia="ko-KR"/>
        </w:rPr>
        <w:t xml:space="preserve">The Committee is concerned at the restrictions on the right to strike in the Law on Labour Relations and other labour laws of the State party, including provisions that provide for </w:t>
      </w:r>
      <w:r w:rsidR="008B65B9">
        <w:rPr>
          <w:lang w:eastAsia="ko-KR"/>
        </w:rPr>
        <w:t>the</w:t>
      </w:r>
      <w:r w:rsidRPr="00B417FE">
        <w:rPr>
          <w:lang w:eastAsia="ko-KR"/>
        </w:rPr>
        <w:t xml:space="preserve"> dismissal of a worker </w:t>
      </w:r>
      <w:r w:rsidR="008B65B9">
        <w:rPr>
          <w:lang w:eastAsia="ko-KR"/>
        </w:rPr>
        <w:t>taking part in</w:t>
      </w:r>
      <w:r w:rsidRPr="00B417FE">
        <w:rPr>
          <w:lang w:eastAsia="ko-KR"/>
        </w:rPr>
        <w:t xml:space="preserve"> a strike that was already under way</w:t>
      </w:r>
      <w:r w:rsidR="00D666E6">
        <w:rPr>
          <w:lang w:eastAsia="ko-KR"/>
        </w:rPr>
        <w:t xml:space="preserve"> (art. 8)</w:t>
      </w:r>
      <w:r w:rsidRPr="00B417FE">
        <w:rPr>
          <w:lang w:eastAsia="ko-KR"/>
        </w:rPr>
        <w:t>.</w:t>
      </w:r>
    </w:p>
    <w:p w14:paraId="4E26438A" w14:textId="446336C7" w:rsidR="00B417FE" w:rsidRDefault="00B417FE" w:rsidP="00306951">
      <w:pPr>
        <w:pStyle w:val="SingleTxtG"/>
        <w:tabs>
          <w:tab w:val="left" w:pos="1701"/>
        </w:tabs>
      </w:pPr>
      <w:proofErr w:type="gramStart"/>
      <w:r w:rsidRPr="00D46DDC">
        <w:rPr>
          <w:lang w:eastAsia="ko-KR"/>
        </w:rPr>
        <w:t>36.</w:t>
      </w:r>
      <w:r w:rsidRPr="00B417FE">
        <w:rPr>
          <w:b/>
          <w:lang w:eastAsia="ko-KR"/>
        </w:rPr>
        <w:tab/>
      </w:r>
      <w:r w:rsidRPr="00B417FE">
        <w:rPr>
          <w:b/>
          <w:bCs/>
          <w:lang w:eastAsia="ko-KR"/>
        </w:rPr>
        <w:t xml:space="preserve">The Committee recommends that the State party amend the Law on Labour Relations and other labour laws with a view to ensuring that these laws are </w:t>
      </w:r>
      <w:r w:rsidR="00687B21">
        <w:rPr>
          <w:b/>
          <w:bCs/>
          <w:lang w:eastAsia="ko-KR"/>
        </w:rPr>
        <w:t xml:space="preserve">fully in </w:t>
      </w:r>
      <w:r w:rsidRPr="00B417FE">
        <w:rPr>
          <w:b/>
          <w:bCs/>
          <w:lang w:eastAsia="ko-KR"/>
        </w:rPr>
        <w:t>complian</w:t>
      </w:r>
      <w:r w:rsidR="00045676">
        <w:rPr>
          <w:b/>
          <w:bCs/>
          <w:lang w:eastAsia="ko-KR"/>
        </w:rPr>
        <w:t>ce</w:t>
      </w:r>
      <w:r w:rsidRPr="00B417FE">
        <w:rPr>
          <w:b/>
          <w:bCs/>
          <w:lang w:eastAsia="ko-KR"/>
        </w:rPr>
        <w:t xml:space="preserve"> with the Covenant and relevant ILO conventions and provid</w:t>
      </w:r>
      <w:r w:rsidR="008B65B9">
        <w:rPr>
          <w:b/>
          <w:bCs/>
          <w:lang w:eastAsia="ko-KR"/>
        </w:rPr>
        <w:t>e</w:t>
      </w:r>
      <w:r w:rsidRPr="00B417FE">
        <w:rPr>
          <w:b/>
          <w:bCs/>
          <w:lang w:eastAsia="ko-KR"/>
        </w:rPr>
        <w:t xml:space="preserve"> for full protection of the right to strike, taking into consideration the </w:t>
      </w:r>
      <w:r w:rsidR="00045676">
        <w:rPr>
          <w:b/>
          <w:bCs/>
          <w:lang w:eastAsia="ko-KR"/>
        </w:rPr>
        <w:t>review</w:t>
      </w:r>
      <w:r w:rsidRPr="00B417FE">
        <w:rPr>
          <w:b/>
          <w:bCs/>
          <w:lang w:eastAsia="ko-KR"/>
        </w:rPr>
        <w:t xml:space="preserve"> of national labour laws </w:t>
      </w:r>
      <w:r w:rsidR="008B65B9">
        <w:rPr>
          <w:b/>
          <w:bCs/>
          <w:lang w:eastAsia="ko-KR"/>
        </w:rPr>
        <w:t>that</w:t>
      </w:r>
      <w:r w:rsidRPr="00B417FE">
        <w:rPr>
          <w:b/>
          <w:bCs/>
          <w:lang w:eastAsia="ko-KR"/>
        </w:rPr>
        <w:t xml:space="preserve"> has been carried out in cooperation with </w:t>
      </w:r>
      <w:r w:rsidR="008B65B9">
        <w:rPr>
          <w:b/>
          <w:bCs/>
          <w:lang w:eastAsia="ko-KR"/>
        </w:rPr>
        <w:t>ILO</w:t>
      </w:r>
      <w:r w:rsidRPr="00B417FE">
        <w:rPr>
          <w:b/>
          <w:bCs/>
          <w:lang w:eastAsia="ko-KR"/>
        </w:rPr>
        <w:t>.</w:t>
      </w:r>
      <w:proofErr w:type="gramEnd"/>
    </w:p>
    <w:p w14:paraId="1AB7E5BA" w14:textId="544E571B" w:rsidR="009D3B03" w:rsidRPr="0009316D" w:rsidRDefault="009D3B03" w:rsidP="002E4E24">
      <w:pPr>
        <w:pStyle w:val="H23G"/>
        <w:ind w:firstLine="0"/>
      </w:pPr>
      <w:r w:rsidRPr="0009316D">
        <w:t>Right to social security</w:t>
      </w:r>
    </w:p>
    <w:p w14:paraId="37C3E213" w14:textId="47E53743" w:rsidR="003A5C21" w:rsidRPr="0009316D" w:rsidRDefault="00045676" w:rsidP="00306951">
      <w:pPr>
        <w:pStyle w:val="SingleTxtG"/>
        <w:tabs>
          <w:tab w:val="left" w:pos="1701"/>
        </w:tabs>
      </w:pPr>
      <w:r w:rsidRPr="0009316D">
        <w:t>3</w:t>
      </w:r>
      <w:r w:rsidR="00A170FC">
        <w:t>7</w:t>
      </w:r>
      <w:r w:rsidR="00306951" w:rsidRPr="0009316D">
        <w:t>.</w:t>
      </w:r>
      <w:r w:rsidR="00306951" w:rsidRPr="0009316D">
        <w:tab/>
      </w:r>
      <w:r w:rsidR="003926B4" w:rsidRPr="0009316D">
        <w:t>The Committee</w:t>
      </w:r>
      <w:r w:rsidR="003A5C21" w:rsidRPr="0009316D">
        <w:t xml:space="preserve"> </w:t>
      </w:r>
      <w:r w:rsidR="00BA6555" w:rsidRPr="0009316D">
        <w:t xml:space="preserve">is concerned </w:t>
      </w:r>
      <w:r w:rsidR="000B2571" w:rsidRPr="0009316D">
        <w:t>that</w:t>
      </w:r>
      <w:r w:rsidR="00BA6555" w:rsidRPr="0009316D">
        <w:t xml:space="preserve"> </w:t>
      </w:r>
      <w:r w:rsidR="003A5C21" w:rsidRPr="0009316D">
        <w:t>the social security system</w:t>
      </w:r>
      <w:r w:rsidR="000B2571" w:rsidRPr="0009316D">
        <w:t xml:space="preserve"> of the State party</w:t>
      </w:r>
      <w:r w:rsidR="00687B21">
        <w:t xml:space="preserve"> </w:t>
      </w:r>
      <w:r w:rsidR="00DD16FA" w:rsidRPr="0009316D">
        <w:t xml:space="preserve">does not cover </w:t>
      </w:r>
      <w:r w:rsidR="003A5C21" w:rsidRPr="0009316D">
        <w:t>the most disadvantaged and marginalized individuals</w:t>
      </w:r>
      <w:r w:rsidR="00C84B2D" w:rsidRPr="0009316D">
        <w:t>. It is particularly concerned</w:t>
      </w:r>
      <w:r w:rsidR="003A5C21" w:rsidRPr="0009316D">
        <w:t xml:space="preserve"> </w:t>
      </w:r>
      <w:r w:rsidR="00C84B2D" w:rsidRPr="0009316D">
        <w:t>at</w:t>
      </w:r>
      <w:r w:rsidR="003A5C21" w:rsidRPr="0009316D">
        <w:t xml:space="preserve"> the</w:t>
      </w:r>
      <w:r w:rsidR="0009316D">
        <w:t>ir</w:t>
      </w:r>
      <w:r w:rsidR="003A5C21" w:rsidRPr="0009316D">
        <w:t xml:space="preserve"> limited </w:t>
      </w:r>
      <w:r w:rsidR="003926B4" w:rsidRPr="0009316D">
        <w:t>access to social benefits owing to the complicated procedure and eligibility criteria</w:t>
      </w:r>
      <w:r w:rsidR="00FA34E3" w:rsidRPr="0009316D">
        <w:t xml:space="preserve"> and</w:t>
      </w:r>
      <w:r w:rsidR="00C84B2D" w:rsidRPr="0009316D">
        <w:t xml:space="preserve"> at the insufficient level of </w:t>
      </w:r>
      <w:r w:rsidR="00673163" w:rsidRPr="0009316D">
        <w:t xml:space="preserve">these </w:t>
      </w:r>
      <w:r w:rsidR="00C84B2D" w:rsidRPr="0009316D">
        <w:t>benefits</w:t>
      </w:r>
      <w:r w:rsidR="00FA34E3" w:rsidRPr="0009316D">
        <w:t xml:space="preserve">. </w:t>
      </w:r>
      <w:proofErr w:type="gramStart"/>
      <w:r w:rsidR="00FA34E3" w:rsidRPr="0009316D">
        <w:t xml:space="preserve">While welcoming the fact that the </w:t>
      </w:r>
      <w:r w:rsidR="004B6E26" w:rsidRPr="0009316D">
        <w:t xml:space="preserve">2015 amendments to the Rulebook </w:t>
      </w:r>
      <w:r w:rsidR="00273557" w:rsidRPr="0009316D">
        <w:t xml:space="preserve">on </w:t>
      </w:r>
      <w:r w:rsidR="00425713">
        <w:t xml:space="preserve">wire transfers of </w:t>
      </w:r>
      <w:r w:rsidR="009570F3">
        <w:t xml:space="preserve">funds </w:t>
      </w:r>
      <w:r w:rsidR="006103DF" w:rsidRPr="0009316D">
        <w:t>in the calculation of income</w:t>
      </w:r>
      <w:r w:rsidR="008F284A" w:rsidRPr="0009316D">
        <w:t xml:space="preserve"> for means-tested benefits</w:t>
      </w:r>
      <w:r w:rsidR="006103DF" w:rsidRPr="0009316D">
        <w:t xml:space="preserve"> have been </w:t>
      </w:r>
      <w:r w:rsidR="009570F3">
        <w:t>rescinded</w:t>
      </w:r>
      <w:r w:rsidR="00B96EB3" w:rsidRPr="0009316D">
        <w:t>, it regrets</w:t>
      </w:r>
      <w:r w:rsidR="00C84B2D" w:rsidRPr="0009316D">
        <w:t xml:space="preserve"> the </w:t>
      </w:r>
      <w:r w:rsidR="0032057A" w:rsidRPr="0009316D">
        <w:t xml:space="preserve">retroactive </w:t>
      </w:r>
      <w:r w:rsidR="00C84B2D" w:rsidRPr="0009316D">
        <w:t xml:space="preserve">application of the amendments, which </w:t>
      </w:r>
      <w:r w:rsidR="00425713">
        <w:t xml:space="preserve">has </w:t>
      </w:r>
      <w:r w:rsidR="00C84B2D" w:rsidRPr="0009316D">
        <w:t xml:space="preserve">resulted </w:t>
      </w:r>
      <w:r w:rsidR="00273557" w:rsidRPr="0009316D">
        <w:t xml:space="preserve">in </w:t>
      </w:r>
      <w:r w:rsidR="00C84B2D" w:rsidRPr="0009316D">
        <w:t>a large number of beneficiaries</w:t>
      </w:r>
      <w:r w:rsidR="0009316D" w:rsidRPr="0009316D">
        <w:t xml:space="preserve"> b</w:t>
      </w:r>
      <w:r w:rsidR="00563114" w:rsidRPr="0009316D">
        <w:t>eing unable</w:t>
      </w:r>
      <w:r w:rsidR="00C84B2D" w:rsidRPr="0009316D">
        <w:t xml:space="preserve"> to reimburse the</w:t>
      </w:r>
      <w:r w:rsidR="00C52BEF" w:rsidRPr="0009316D">
        <w:t xml:space="preserve"> previous</w:t>
      </w:r>
      <w:r w:rsidR="00C84B2D" w:rsidRPr="0009316D">
        <w:t xml:space="preserve"> benefits</w:t>
      </w:r>
      <w:r w:rsidR="00273557" w:rsidRPr="0009316D">
        <w:t xml:space="preserve"> and, as a result, losing their entitlement to future benefits </w:t>
      </w:r>
      <w:r w:rsidR="00533D48" w:rsidRPr="0009316D">
        <w:t>(art.</w:t>
      </w:r>
      <w:r w:rsidR="00D33D78">
        <w:t> </w:t>
      </w:r>
      <w:r w:rsidR="00533D48" w:rsidRPr="0009316D">
        <w:t>9)</w:t>
      </w:r>
      <w:r w:rsidR="003A5C21" w:rsidRPr="0009316D">
        <w:t>.</w:t>
      </w:r>
      <w:proofErr w:type="gramEnd"/>
    </w:p>
    <w:p w14:paraId="033AB5E0" w14:textId="5C2F6B3D" w:rsidR="00796269" w:rsidRPr="0009316D" w:rsidRDefault="00045676" w:rsidP="00306951">
      <w:pPr>
        <w:pStyle w:val="SingleTxtG"/>
        <w:tabs>
          <w:tab w:val="left" w:pos="1701"/>
        </w:tabs>
        <w:rPr>
          <w:b/>
        </w:rPr>
      </w:pPr>
      <w:r w:rsidRPr="0009316D">
        <w:t>3</w:t>
      </w:r>
      <w:r w:rsidR="00A170FC">
        <w:t>8</w:t>
      </w:r>
      <w:r w:rsidR="00306951" w:rsidRPr="0009316D">
        <w:t>.</w:t>
      </w:r>
      <w:r w:rsidR="00306951" w:rsidRPr="0009316D">
        <w:tab/>
      </w:r>
      <w:r w:rsidR="003A5C21" w:rsidRPr="0009316D">
        <w:rPr>
          <w:b/>
        </w:rPr>
        <w:t>The Comm</w:t>
      </w:r>
      <w:r w:rsidR="00C52BEF" w:rsidRPr="0009316D">
        <w:rPr>
          <w:b/>
        </w:rPr>
        <w:t xml:space="preserve">ittee recommends that the State </w:t>
      </w:r>
      <w:r w:rsidR="006F6E0A" w:rsidRPr="0009316D">
        <w:rPr>
          <w:b/>
        </w:rPr>
        <w:t xml:space="preserve">party </w:t>
      </w:r>
      <w:r w:rsidR="00796269" w:rsidRPr="0009316D">
        <w:rPr>
          <w:b/>
        </w:rPr>
        <w:t xml:space="preserve">ensure that the most disadvantaged and marginalized individuals </w:t>
      </w:r>
      <w:proofErr w:type="gramStart"/>
      <w:r w:rsidR="00796269" w:rsidRPr="0009316D">
        <w:rPr>
          <w:b/>
        </w:rPr>
        <w:t>are fully protected</w:t>
      </w:r>
      <w:proofErr w:type="gramEnd"/>
      <w:r w:rsidR="00796269" w:rsidRPr="0009316D">
        <w:rPr>
          <w:b/>
        </w:rPr>
        <w:t xml:space="preserve"> under its social security system</w:t>
      </w:r>
      <w:r w:rsidR="00C52BEF" w:rsidRPr="0009316D">
        <w:rPr>
          <w:b/>
        </w:rPr>
        <w:t xml:space="preserve">. It also recommends that the State party </w:t>
      </w:r>
      <w:r w:rsidR="00C84B2D" w:rsidRPr="0009316D">
        <w:rPr>
          <w:b/>
        </w:rPr>
        <w:t xml:space="preserve">streamline the application procedure </w:t>
      </w:r>
      <w:r w:rsidR="00673163" w:rsidRPr="0009316D">
        <w:rPr>
          <w:b/>
        </w:rPr>
        <w:t xml:space="preserve">for entitlement to </w:t>
      </w:r>
      <w:r w:rsidR="00C84B2D" w:rsidRPr="0009316D">
        <w:rPr>
          <w:b/>
        </w:rPr>
        <w:t>social security</w:t>
      </w:r>
      <w:r w:rsidR="00B61D25">
        <w:rPr>
          <w:b/>
        </w:rPr>
        <w:t xml:space="preserve"> </w:t>
      </w:r>
      <w:r w:rsidR="00673163" w:rsidRPr="0009316D">
        <w:rPr>
          <w:b/>
        </w:rPr>
        <w:t>benefits</w:t>
      </w:r>
      <w:r w:rsidR="00B61D25">
        <w:rPr>
          <w:b/>
        </w:rPr>
        <w:t xml:space="preserve"> </w:t>
      </w:r>
      <w:r w:rsidR="00673163" w:rsidRPr="0009316D">
        <w:rPr>
          <w:b/>
        </w:rPr>
        <w:t xml:space="preserve">and </w:t>
      </w:r>
      <w:r w:rsidR="00796269" w:rsidRPr="0009316D">
        <w:rPr>
          <w:b/>
        </w:rPr>
        <w:t xml:space="preserve">increase the </w:t>
      </w:r>
      <w:r w:rsidR="00673163" w:rsidRPr="0009316D">
        <w:rPr>
          <w:b/>
        </w:rPr>
        <w:t>l</w:t>
      </w:r>
      <w:r w:rsidR="00235C06" w:rsidRPr="0009316D">
        <w:rPr>
          <w:b/>
        </w:rPr>
        <w:t>evel</w:t>
      </w:r>
      <w:r w:rsidR="00C36EEF" w:rsidRPr="0009316D">
        <w:rPr>
          <w:b/>
        </w:rPr>
        <w:t xml:space="preserve"> of benefits</w:t>
      </w:r>
      <w:r w:rsidR="005767D9" w:rsidRPr="0009316D">
        <w:rPr>
          <w:b/>
        </w:rPr>
        <w:t xml:space="preserve"> to ensure </w:t>
      </w:r>
      <w:r w:rsidR="00697E11">
        <w:rPr>
          <w:b/>
        </w:rPr>
        <w:t>an adequ</w:t>
      </w:r>
      <w:r w:rsidR="009F1E30">
        <w:rPr>
          <w:b/>
        </w:rPr>
        <w:t>a</w:t>
      </w:r>
      <w:r w:rsidR="00697E11">
        <w:rPr>
          <w:b/>
        </w:rPr>
        <w:t>te</w:t>
      </w:r>
      <w:r w:rsidR="005767D9" w:rsidRPr="0009316D">
        <w:rPr>
          <w:b/>
        </w:rPr>
        <w:t xml:space="preserve"> standard of living</w:t>
      </w:r>
      <w:r w:rsidR="00C36EEF" w:rsidRPr="0009316D">
        <w:rPr>
          <w:b/>
        </w:rPr>
        <w:t xml:space="preserve"> </w:t>
      </w:r>
      <w:r w:rsidR="00425713">
        <w:rPr>
          <w:b/>
        </w:rPr>
        <w:t>and</w:t>
      </w:r>
      <w:r w:rsidR="00C36EEF" w:rsidRPr="0009316D">
        <w:rPr>
          <w:b/>
        </w:rPr>
        <w:t xml:space="preserve"> ensure</w:t>
      </w:r>
      <w:r w:rsidR="00537FA6" w:rsidRPr="0009316D">
        <w:rPr>
          <w:b/>
        </w:rPr>
        <w:t xml:space="preserve"> </w:t>
      </w:r>
      <w:r w:rsidR="00673163" w:rsidRPr="0009316D">
        <w:rPr>
          <w:b/>
        </w:rPr>
        <w:t>the</w:t>
      </w:r>
      <w:r w:rsidR="00C36EEF" w:rsidRPr="0009316D">
        <w:rPr>
          <w:b/>
        </w:rPr>
        <w:t>ir</w:t>
      </w:r>
      <w:r w:rsidR="00673163" w:rsidRPr="0009316D">
        <w:rPr>
          <w:b/>
        </w:rPr>
        <w:t xml:space="preserve"> timely payment.</w:t>
      </w:r>
      <w:r w:rsidR="005767D9" w:rsidRPr="0009316D">
        <w:rPr>
          <w:b/>
        </w:rPr>
        <w:t xml:space="preserve"> </w:t>
      </w:r>
      <w:r w:rsidR="00C84B2D" w:rsidRPr="0009316D">
        <w:rPr>
          <w:b/>
        </w:rPr>
        <w:t>It</w:t>
      </w:r>
      <w:r w:rsidR="00796269" w:rsidRPr="0009316D">
        <w:rPr>
          <w:b/>
        </w:rPr>
        <w:t xml:space="preserve"> urges the State party to </w:t>
      </w:r>
      <w:r w:rsidR="004629F9" w:rsidRPr="0009316D">
        <w:rPr>
          <w:b/>
        </w:rPr>
        <w:t>reverse the decision to apply retroactively</w:t>
      </w:r>
      <w:r w:rsidR="00796269" w:rsidRPr="0009316D">
        <w:rPr>
          <w:b/>
        </w:rPr>
        <w:t xml:space="preserve"> the 2015 amendments to the Rulebook</w:t>
      </w:r>
      <w:r w:rsidR="00673163" w:rsidRPr="0009316D">
        <w:rPr>
          <w:b/>
        </w:rPr>
        <w:t xml:space="preserve"> </w:t>
      </w:r>
      <w:proofErr w:type="gramStart"/>
      <w:r w:rsidR="00673163" w:rsidRPr="0009316D">
        <w:rPr>
          <w:b/>
        </w:rPr>
        <w:t>so</w:t>
      </w:r>
      <w:r w:rsidR="008F284A" w:rsidRPr="0009316D">
        <w:rPr>
          <w:b/>
        </w:rPr>
        <w:t xml:space="preserve"> </w:t>
      </w:r>
      <w:r w:rsidR="00673163" w:rsidRPr="0009316D">
        <w:rPr>
          <w:b/>
        </w:rPr>
        <w:t>as to</w:t>
      </w:r>
      <w:proofErr w:type="gramEnd"/>
      <w:r w:rsidR="00673163" w:rsidRPr="0009316D">
        <w:rPr>
          <w:b/>
        </w:rPr>
        <w:t xml:space="preserve"> ensure the access of all those affected to benefits.</w:t>
      </w:r>
    </w:p>
    <w:p w14:paraId="64396E9B" w14:textId="6D72B8C1" w:rsidR="009D3B03" w:rsidRPr="007C209B" w:rsidRDefault="009D3B03" w:rsidP="002E4E24">
      <w:pPr>
        <w:pStyle w:val="H23G"/>
        <w:ind w:firstLine="0"/>
      </w:pPr>
      <w:r w:rsidRPr="007C209B">
        <w:t>Domestic violence</w:t>
      </w:r>
    </w:p>
    <w:p w14:paraId="72D3630C" w14:textId="18D31125" w:rsidR="001643E6" w:rsidRPr="0009316D" w:rsidRDefault="00045676" w:rsidP="00306951">
      <w:pPr>
        <w:pStyle w:val="SingleTxtG"/>
        <w:tabs>
          <w:tab w:val="left" w:pos="1701"/>
        </w:tabs>
      </w:pPr>
      <w:r w:rsidRPr="0009316D">
        <w:t>3</w:t>
      </w:r>
      <w:r w:rsidR="00A170FC">
        <w:t>9</w:t>
      </w:r>
      <w:r w:rsidR="00306951" w:rsidRPr="0009316D">
        <w:t>.</w:t>
      </w:r>
      <w:r w:rsidR="00306951" w:rsidRPr="0009316D">
        <w:tab/>
      </w:r>
      <w:r w:rsidR="001643E6">
        <w:rPr>
          <w:lang w:val="en-US"/>
        </w:rPr>
        <w:t xml:space="preserve">The Committee </w:t>
      </w:r>
      <w:r w:rsidR="00A170FC">
        <w:rPr>
          <w:lang w:val="en-US"/>
        </w:rPr>
        <w:t xml:space="preserve">welcomes the adoption of the Law on Prevention </w:t>
      </w:r>
      <w:r w:rsidR="00425713">
        <w:rPr>
          <w:lang w:val="en-US"/>
        </w:rPr>
        <w:t xml:space="preserve">of </w:t>
      </w:r>
      <w:r w:rsidR="00A170FC">
        <w:rPr>
          <w:lang w:val="en-US"/>
        </w:rPr>
        <w:t xml:space="preserve">and Protection against Domestic Violence. It remains </w:t>
      </w:r>
      <w:r w:rsidR="001643E6">
        <w:rPr>
          <w:lang w:val="en-US"/>
        </w:rPr>
        <w:t>concerned</w:t>
      </w:r>
      <w:r w:rsidR="00A170FC">
        <w:rPr>
          <w:lang w:val="en-US"/>
        </w:rPr>
        <w:t>, however,</w:t>
      </w:r>
      <w:r w:rsidR="001643E6">
        <w:rPr>
          <w:lang w:val="en-US"/>
        </w:rPr>
        <w:t xml:space="preserve"> </w:t>
      </w:r>
      <w:r w:rsidR="00742083">
        <w:rPr>
          <w:lang w:val="en-US"/>
        </w:rPr>
        <w:t>that</w:t>
      </w:r>
      <w:r w:rsidR="001643E6">
        <w:rPr>
          <w:lang w:val="en-US"/>
        </w:rPr>
        <w:t xml:space="preserve"> the</w:t>
      </w:r>
      <w:r w:rsidR="001643E6" w:rsidRPr="0072161F">
        <w:rPr>
          <w:lang w:val="en-US"/>
        </w:rPr>
        <w:t xml:space="preserve"> Law </w:t>
      </w:r>
      <w:r w:rsidR="00A170FC">
        <w:rPr>
          <w:lang w:val="en-US"/>
        </w:rPr>
        <w:t xml:space="preserve">and other relevant </w:t>
      </w:r>
      <w:r w:rsidR="00A17506">
        <w:rPr>
          <w:lang w:val="en-US"/>
        </w:rPr>
        <w:t>laws</w:t>
      </w:r>
      <w:r w:rsidR="00A170FC">
        <w:rPr>
          <w:lang w:val="en-US"/>
        </w:rPr>
        <w:t xml:space="preserve"> of the State party, including the Penal Code and the Law on </w:t>
      </w:r>
      <w:r w:rsidR="00425713">
        <w:rPr>
          <w:lang w:val="en-US"/>
        </w:rPr>
        <w:t>Prevention of and Protection against Discrimination</w:t>
      </w:r>
      <w:r w:rsidR="00A170FC">
        <w:rPr>
          <w:lang w:val="en-US"/>
        </w:rPr>
        <w:t xml:space="preserve">, </w:t>
      </w:r>
      <w:r w:rsidR="00742083">
        <w:rPr>
          <w:lang w:val="en-US"/>
        </w:rPr>
        <w:t>do not ensure</w:t>
      </w:r>
      <w:r w:rsidR="007B48B7">
        <w:rPr>
          <w:lang w:val="en-US"/>
        </w:rPr>
        <w:t xml:space="preserve"> </w:t>
      </w:r>
      <w:r w:rsidR="00F53310">
        <w:rPr>
          <w:lang w:val="en-US"/>
        </w:rPr>
        <w:t>adequate</w:t>
      </w:r>
      <w:r w:rsidR="00F53310" w:rsidRPr="0072161F">
        <w:rPr>
          <w:lang w:val="en-US"/>
        </w:rPr>
        <w:t xml:space="preserve"> </w:t>
      </w:r>
      <w:r w:rsidR="007B48B7" w:rsidRPr="0072161F">
        <w:rPr>
          <w:lang w:val="en-US"/>
        </w:rPr>
        <w:t xml:space="preserve">protection </w:t>
      </w:r>
      <w:r w:rsidR="007B48B7">
        <w:rPr>
          <w:lang w:val="en-US"/>
        </w:rPr>
        <w:t>to</w:t>
      </w:r>
      <w:r w:rsidR="007B48B7" w:rsidRPr="0072161F">
        <w:rPr>
          <w:lang w:val="en-US"/>
        </w:rPr>
        <w:t xml:space="preserve"> women victims of domestic violence</w:t>
      </w:r>
      <w:r w:rsidR="00A170FC">
        <w:rPr>
          <w:lang w:val="en-US"/>
        </w:rPr>
        <w:t xml:space="preserve"> and gender-based violence</w:t>
      </w:r>
      <w:r w:rsidR="00742083">
        <w:rPr>
          <w:lang w:val="en-US"/>
        </w:rPr>
        <w:t xml:space="preserve">. It is also concerned </w:t>
      </w:r>
      <w:r w:rsidR="007B48B7">
        <w:rPr>
          <w:lang w:val="en-US"/>
        </w:rPr>
        <w:t>at</w:t>
      </w:r>
      <w:r w:rsidR="001643E6" w:rsidRPr="0072161F">
        <w:rPr>
          <w:lang w:val="en-US"/>
        </w:rPr>
        <w:t xml:space="preserve"> the low level of convictions and </w:t>
      </w:r>
      <w:r w:rsidR="001643E6" w:rsidRPr="0009316D">
        <w:rPr>
          <w:lang w:val="en-US"/>
        </w:rPr>
        <w:t xml:space="preserve">lenient punishment </w:t>
      </w:r>
      <w:r w:rsidR="00673163" w:rsidRPr="0009316D">
        <w:rPr>
          <w:lang w:val="en-US"/>
        </w:rPr>
        <w:t xml:space="preserve">of </w:t>
      </w:r>
      <w:r w:rsidR="001643E6" w:rsidRPr="0009316D">
        <w:rPr>
          <w:lang w:val="en-US"/>
        </w:rPr>
        <w:t>the perpetrators</w:t>
      </w:r>
      <w:r w:rsidR="007B48B7" w:rsidRPr="0009316D">
        <w:rPr>
          <w:lang w:val="en-US"/>
        </w:rPr>
        <w:t xml:space="preserve"> and at</w:t>
      </w:r>
      <w:r w:rsidR="001643E6" w:rsidRPr="0009316D">
        <w:rPr>
          <w:lang w:val="en-US"/>
        </w:rPr>
        <w:t xml:space="preserve"> the insufficient support provided for the victims of domestic violence, including shelters, legal aid and </w:t>
      </w:r>
      <w:r w:rsidR="008F0182">
        <w:rPr>
          <w:lang w:val="en-US"/>
        </w:rPr>
        <w:t xml:space="preserve">treatment for the </w:t>
      </w:r>
      <w:r w:rsidR="001643E6" w:rsidRPr="0009316D">
        <w:rPr>
          <w:lang w:val="en-US"/>
        </w:rPr>
        <w:t xml:space="preserve">physical and psychological </w:t>
      </w:r>
      <w:r w:rsidR="008F0182">
        <w:rPr>
          <w:lang w:val="en-US"/>
        </w:rPr>
        <w:t>effects of such violence</w:t>
      </w:r>
      <w:r w:rsidR="001643E6" w:rsidRPr="0009316D">
        <w:rPr>
          <w:lang w:val="en-US"/>
        </w:rPr>
        <w:t>. The Committee regrets the lack of data on domestic violence</w:t>
      </w:r>
      <w:r w:rsidR="00533D48" w:rsidRPr="0009316D">
        <w:rPr>
          <w:lang w:val="en-US"/>
        </w:rPr>
        <w:t xml:space="preserve"> </w:t>
      </w:r>
      <w:r w:rsidR="00533D48" w:rsidRPr="0009316D">
        <w:t>(art. 10)</w:t>
      </w:r>
      <w:r w:rsidR="001643E6" w:rsidRPr="0009316D">
        <w:rPr>
          <w:lang w:val="en-US"/>
        </w:rPr>
        <w:t>.</w:t>
      </w:r>
      <w:r w:rsidR="0038522B">
        <w:rPr>
          <w:lang w:val="en-US"/>
        </w:rPr>
        <w:t xml:space="preserve"> </w:t>
      </w:r>
    </w:p>
    <w:p w14:paraId="2028AE86" w14:textId="5E09C7EF" w:rsidR="001643E6" w:rsidRPr="0009316D" w:rsidRDefault="00A170FC" w:rsidP="00306951">
      <w:pPr>
        <w:pStyle w:val="SingleTxtG"/>
        <w:tabs>
          <w:tab w:val="left" w:pos="1701"/>
        </w:tabs>
        <w:rPr>
          <w:b/>
        </w:rPr>
      </w:pPr>
      <w:proofErr w:type="gramStart"/>
      <w:r>
        <w:t>40</w:t>
      </w:r>
      <w:r w:rsidR="00306951" w:rsidRPr="0009316D">
        <w:t>.</w:t>
      </w:r>
      <w:r w:rsidR="00306951" w:rsidRPr="0009316D">
        <w:tab/>
      </w:r>
      <w:r w:rsidR="001643E6" w:rsidRPr="0009316D">
        <w:rPr>
          <w:rFonts w:hint="eastAsia"/>
          <w:b/>
          <w:lang w:eastAsia="ko-KR"/>
        </w:rPr>
        <w:t>T</w:t>
      </w:r>
      <w:r w:rsidR="001643E6" w:rsidRPr="0009316D">
        <w:rPr>
          <w:b/>
          <w:lang w:eastAsia="ko-KR"/>
        </w:rPr>
        <w:t xml:space="preserve">he Committee recommends that the State party take measures </w:t>
      </w:r>
      <w:r w:rsidR="00673163" w:rsidRPr="0009316D">
        <w:rPr>
          <w:b/>
          <w:lang w:eastAsia="ko-KR"/>
        </w:rPr>
        <w:t xml:space="preserve">to review </w:t>
      </w:r>
      <w:r w:rsidR="001643E6" w:rsidRPr="0009316D">
        <w:rPr>
          <w:b/>
          <w:lang w:eastAsia="ko-KR"/>
        </w:rPr>
        <w:t xml:space="preserve">the Law on Prevention </w:t>
      </w:r>
      <w:r w:rsidR="00425713">
        <w:rPr>
          <w:b/>
          <w:lang w:eastAsia="ko-KR"/>
        </w:rPr>
        <w:t xml:space="preserve">of </w:t>
      </w:r>
      <w:r w:rsidR="001643E6" w:rsidRPr="0009316D">
        <w:rPr>
          <w:b/>
          <w:lang w:eastAsia="ko-KR"/>
        </w:rPr>
        <w:t xml:space="preserve">and Protection against </w:t>
      </w:r>
      <w:r w:rsidR="009F3E4E" w:rsidRPr="0009316D">
        <w:rPr>
          <w:b/>
          <w:lang w:eastAsia="ko-KR"/>
        </w:rPr>
        <w:t xml:space="preserve">Domestic </w:t>
      </w:r>
      <w:r w:rsidR="001643E6" w:rsidRPr="0009316D">
        <w:rPr>
          <w:b/>
          <w:lang w:eastAsia="ko-KR"/>
        </w:rPr>
        <w:t xml:space="preserve">Violence </w:t>
      </w:r>
      <w:r>
        <w:rPr>
          <w:b/>
          <w:lang w:eastAsia="ko-KR"/>
        </w:rPr>
        <w:t xml:space="preserve">and other relevant laws </w:t>
      </w:r>
      <w:r w:rsidR="00673163" w:rsidRPr="0009316D">
        <w:rPr>
          <w:b/>
          <w:lang w:eastAsia="ko-KR"/>
        </w:rPr>
        <w:t xml:space="preserve">in order </w:t>
      </w:r>
      <w:r w:rsidR="00673163" w:rsidRPr="00B61D25">
        <w:rPr>
          <w:b/>
          <w:lang w:eastAsia="ko-KR"/>
        </w:rPr>
        <w:t xml:space="preserve">to </w:t>
      </w:r>
      <w:r>
        <w:rPr>
          <w:b/>
          <w:lang w:eastAsia="ko-KR"/>
        </w:rPr>
        <w:t>provide appropriate protection to all victims of domestic violence and gender-based violence</w:t>
      </w:r>
      <w:r>
        <w:rPr>
          <w:b/>
          <w:lang w:val="en-US"/>
        </w:rPr>
        <w:t xml:space="preserve"> with a view to preparing its ratification of </w:t>
      </w:r>
      <w:r w:rsidR="00E85591">
        <w:rPr>
          <w:b/>
          <w:lang w:val="en-US"/>
        </w:rPr>
        <w:t>the Council</w:t>
      </w:r>
      <w:r>
        <w:rPr>
          <w:b/>
          <w:lang w:val="en-US"/>
        </w:rPr>
        <w:t xml:space="preserve"> of Europe Convention on </w:t>
      </w:r>
      <w:r w:rsidR="008F0182">
        <w:rPr>
          <w:b/>
          <w:lang w:val="en-US"/>
        </w:rPr>
        <w:t>P</w:t>
      </w:r>
      <w:r>
        <w:rPr>
          <w:b/>
          <w:lang w:val="en-US"/>
        </w:rPr>
        <w:t xml:space="preserve">reventing and </w:t>
      </w:r>
      <w:r w:rsidR="008F0182">
        <w:rPr>
          <w:b/>
          <w:lang w:val="en-US"/>
        </w:rPr>
        <w:t>C</w:t>
      </w:r>
      <w:r>
        <w:rPr>
          <w:b/>
          <w:lang w:val="en-US"/>
        </w:rPr>
        <w:t xml:space="preserve">ombating </w:t>
      </w:r>
      <w:r w:rsidR="008F0182">
        <w:rPr>
          <w:b/>
          <w:lang w:val="en-US"/>
        </w:rPr>
        <w:t>V</w:t>
      </w:r>
      <w:r>
        <w:rPr>
          <w:b/>
          <w:lang w:val="en-US"/>
        </w:rPr>
        <w:t xml:space="preserve">iolence against </w:t>
      </w:r>
      <w:r w:rsidR="008F0182">
        <w:rPr>
          <w:b/>
          <w:lang w:val="en-US"/>
        </w:rPr>
        <w:t>W</w:t>
      </w:r>
      <w:r>
        <w:rPr>
          <w:b/>
          <w:lang w:val="en-US"/>
        </w:rPr>
        <w:t xml:space="preserve">omen and </w:t>
      </w:r>
      <w:r w:rsidR="008F0182">
        <w:rPr>
          <w:b/>
          <w:lang w:val="en-US"/>
        </w:rPr>
        <w:t>D</w:t>
      </w:r>
      <w:r>
        <w:rPr>
          <w:b/>
          <w:lang w:val="en-US"/>
        </w:rPr>
        <w:t xml:space="preserve">omestic </w:t>
      </w:r>
      <w:r w:rsidR="008F0182">
        <w:rPr>
          <w:b/>
          <w:lang w:val="en-US"/>
        </w:rPr>
        <w:t>V</w:t>
      </w:r>
      <w:r>
        <w:rPr>
          <w:b/>
          <w:lang w:val="en-US"/>
        </w:rPr>
        <w:t>iolence (Istanbul Convention).</w:t>
      </w:r>
      <w:proofErr w:type="gramEnd"/>
      <w:r w:rsidR="00673163" w:rsidRPr="0009316D">
        <w:rPr>
          <w:b/>
          <w:lang w:val="en-US"/>
        </w:rPr>
        <w:t xml:space="preserve"> </w:t>
      </w:r>
      <w:proofErr w:type="gramStart"/>
      <w:r>
        <w:rPr>
          <w:b/>
          <w:lang w:val="en-US"/>
        </w:rPr>
        <w:t>It also recommends that the State party intensify its efforts</w:t>
      </w:r>
      <w:r w:rsidRPr="0009316D">
        <w:rPr>
          <w:b/>
          <w:lang w:eastAsia="ko-KR"/>
        </w:rPr>
        <w:t xml:space="preserve"> </w:t>
      </w:r>
      <w:r w:rsidR="001643E6" w:rsidRPr="0009316D">
        <w:rPr>
          <w:b/>
          <w:lang w:eastAsia="ko-KR"/>
        </w:rPr>
        <w:t xml:space="preserve">to enforce the Law </w:t>
      </w:r>
      <w:r w:rsidR="009A7924" w:rsidRPr="0009316D">
        <w:rPr>
          <w:b/>
          <w:lang w:eastAsia="ko-KR"/>
        </w:rPr>
        <w:t>by ensuring that all reported</w:t>
      </w:r>
      <w:r w:rsidR="001643E6" w:rsidRPr="0009316D">
        <w:rPr>
          <w:b/>
          <w:lang w:eastAsia="ko-KR"/>
        </w:rPr>
        <w:t xml:space="preserve"> cases of domestic violence</w:t>
      </w:r>
      <w:r w:rsidR="009A7924" w:rsidRPr="0009316D">
        <w:rPr>
          <w:b/>
          <w:lang w:eastAsia="ko-KR"/>
        </w:rPr>
        <w:t xml:space="preserve"> are investigated promptly, impartially and effectively</w:t>
      </w:r>
      <w:r w:rsidR="008D2484" w:rsidRPr="0009316D">
        <w:rPr>
          <w:b/>
          <w:lang w:eastAsia="ko-KR"/>
        </w:rPr>
        <w:t xml:space="preserve"> and that the perpetrators are brought to justice</w:t>
      </w:r>
      <w:r w:rsidR="008F0182">
        <w:rPr>
          <w:b/>
          <w:lang w:eastAsia="ko-KR"/>
        </w:rPr>
        <w:t>,</w:t>
      </w:r>
      <w:r>
        <w:rPr>
          <w:b/>
          <w:lang w:eastAsia="ko-KR"/>
        </w:rPr>
        <w:t xml:space="preserve"> and</w:t>
      </w:r>
      <w:r w:rsidR="008D2484" w:rsidRPr="0009316D">
        <w:rPr>
          <w:b/>
          <w:lang w:eastAsia="ko-KR"/>
        </w:rPr>
        <w:t xml:space="preserve"> </w:t>
      </w:r>
      <w:r w:rsidR="008F0182">
        <w:rPr>
          <w:b/>
          <w:lang w:eastAsia="ko-KR"/>
        </w:rPr>
        <w:t>that it</w:t>
      </w:r>
      <w:r w:rsidR="008F0182" w:rsidRPr="0009316D">
        <w:rPr>
          <w:b/>
          <w:lang w:eastAsia="ko-KR"/>
        </w:rPr>
        <w:t xml:space="preserve"> </w:t>
      </w:r>
      <w:r w:rsidR="001643E6" w:rsidRPr="0009316D">
        <w:rPr>
          <w:b/>
          <w:lang w:eastAsia="ko-KR"/>
        </w:rPr>
        <w:t xml:space="preserve">provide adequate support to the victims of domestic violence </w:t>
      </w:r>
      <w:r w:rsidR="007709C2" w:rsidRPr="0009316D">
        <w:rPr>
          <w:b/>
          <w:lang w:eastAsia="ko-KR"/>
        </w:rPr>
        <w:t xml:space="preserve">by </w:t>
      </w:r>
      <w:r w:rsidR="001643E6" w:rsidRPr="0009316D">
        <w:rPr>
          <w:b/>
          <w:lang w:eastAsia="ko-KR"/>
        </w:rPr>
        <w:t xml:space="preserve">increasing the number of shelters and allocating sufficient funding </w:t>
      </w:r>
      <w:r w:rsidR="008F0182">
        <w:rPr>
          <w:b/>
          <w:lang w:eastAsia="ko-KR"/>
        </w:rPr>
        <w:t>for</w:t>
      </w:r>
      <w:r w:rsidR="008F0182" w:rsidRPr="0009316D">
        <w:rPr>
          <w:b/>
          <w:lang w:eastAsia="ko-KR"/>
        </w:rPr>
        <w:t xml:space="preserve"> </w:t>
      </w:r>
      <w:r w:rsidR="001643E6" w:rsidRPr="0009316D">
        <w:rPr>
          <w:b/>
          <w:lang w:eastAsia="ko-KR"/>
        </w:rPr>
        <w:t xml:space="preserve">legal aid as well as physical and </w:t>
      </w:r>
      <w:r w:rsidR="001643E6" w:rsidRPr="0009316D">
        <w:rPr>
          <w:b/>
          <w:lang w:val="en-US"/>
        </w:rPr>
        <w:t>psychological treatment</w:t>
      </w:r>
      <w:r w:rsidR="008D2484" w:rsidRPr="0009316D">
        <w:rPr>
          <w:b/>
          <w:lang w:val="en-US"/>
        </w:rPr>
        <w:t>.</w:t>
      </w:r>
      <w:proofErr w:type="gramEnd"/>
      <w:r w:rsidR="008D2484" w:rsidRPr="0009316D">
        <w:rPr>
          <w:b/>
          <w:lang w:val="en-US"/>
        </w:rPr>
        <w:t xml:space="preserve"> </w:t>
      </w:r>
      <w:r>
        <w:rPr>
          <w:b/>
          <w:lang w:val="en-US"/>
        </w:rPr>
        <w:t xml:space="preserve">It further </w:t>
      </w:r>
      <w:r w:rsidR="008D2484" w:rsidRPr="0009316D">
        <w:rPr>
          <w:b/>
          <w:lang w:val="en-US"/>
        </w:rPr>
        <w:t xml:space="preserve">recommends that the State party </w:t>
      </w:r>
      <w:r w:rsidR="001643E6" w:rsidRPr="0009316D">
        <w:rPr>
          <w:b/>
          <w:lang w:val="en-US"/>
        </w:rPr>
        <w:t xml:space="preserve">improve </w:t>
      </w:r>
      <w:r w:rsidR="00685DA4" w:rsidRPr="0009316D">
        <w:rPr>
          <w:b/>
          <w:lang w:val="en-US"/>
        </w:rPr>
        <w:t xml:space="preserve">the </w:t>
      </w:r>
      <w:r w:rsidR="000C5D0D" w:rsidRPr="0009316D">
        <w:rPr>
          <w:b/>
          <w:lang w:val="en-US"/>
        </w:rPr>
        <w:t>LIRI</w:t>
      </w:r>
      <w:r w:rsidR="00F53310">
        <w:rPr>
          <w:b/>
          <w:lang w:val="en-US"/>
        </w:rPr>
        <w:t>K</w:t>
      </w:r>
      <w:r w:rsidR="000C5D0D" w:rsidRPr="0009316D">
        <w:rPr>
          <w:b/>
          <w:lang w:val="en-US"/>
        </w:rPr>
        <w:t xml:space="preserve">US </w:t>
      </w:r>
      <w:r w:rsidR="00685DA4" w:rsidRPr="0009316D">
        <w:rPr>
          <w:b/>
          <w:lang w:val="en-US"/>
        </w:rPr>
        <w:t>database on domestic violence</w:t>
      </w:r>
      <w:r w:rsidR="001643E6" w:rsidRPr="0009316D">
        <w:rPr>
          <w:b/>
          <w:lang w:val="en-US"/>
        </w:rPr>
        <w:t>.</w:t>
      </w:r>
    </w:p>
    <w:p w14:paraId="27A3A406" w14:textId="41D5B75D" w:rsidR="009D3B03" w:rsidRPr="0009316D" w:rsidRDefault="009D3B03" w:rsidP="002E4E24">
      <w:pPr>
        <w:pStyle w:val="H23G"/>
        <w:ind w:firstLine="0"/>
      </w:pPr>
      <w:r w:rsidRPr="0009316D">
        <w:t>Poverty</w:t>
      </w:r>
    </w:p>
    <w:p w14:paraId="6CA1DE6D" w14:textId="3F85D729" w:rsidR="00533D48" w:rsidRDefault="00045676" w:rsidP="00306951">
      <w:pPr>
        <w:pStyle w:val="SingleTxtG"/>
        <w:tabs>
          <w:tab w:val="left" w:pos="1701"/>
        </w:tabs>
      </w:pPr>
      <w:r>
        <w:t>4</w:t>
      </w:r>
      <w:r w:rsidR="00A170FC">
        <w:t>1</w:t>
      </w:r>
      <w:r w:rsidR="00306951">
        <w:t>.</w:t>
      </w:r>
      <w:r w:rsidR="00306951">
        <w:tab/>
      </w:r>
      <w:r w:rsidR="00685DA4">
        <w:t xml:space="preserve">The Committee is </w:t>
      </w:r>
      <w:r w:rsidR="00A0750A">
        <w:t>concerned</w:t>
      </w:r>
      <w:r w:rsidR="00533D48">
        <w:t xml:space="preserve"> </w:t>
      </w:r>
      <w:proofErr w:type="gramStart"/>
      <w:r w:rsidR="00533D48">
        <w:t xml:space="preserve">that, despite the </w:t>
      </w:r>
      <w:r w:rsidR="00643B32">
        <w:t xml:space="preserve">decrease in </w:t>
      </w:r>
      <w:r w:rsidR="000F0766">
        <w:t xml:space="preserve">the </w:t>
      </w:r>
      <w:r w:rsidR="00643B32">
        <w:t>poverty rate in recent years</w:t>
      </w:r>
      <w:r w:rsidR="00533D48">
        <w:t xml:space="preserve">, </w:t>
      </w:r>
      <w:r w:rsidR="00B61D25">
        <w:t xml:space="preserve">almost a quarter </w:t>
      </w:r>
      <w:r w:rsidR="006D235C">
        <w:t>of the population</w:t>
      </w:r>
      <w:r w:rsidR="00A63B36">
        <w:t xml:space="preserve"> is </w:t>
      </w:r>
      <w:r w:rsidR="00533D48">
        <w:t>still living in poverty</w:t>
      </w:r>
      <w:r w:rsidR="00A26FC4">
        <w:t xml:space="preserve"> </w:t>
      </w:r>
      <w:r w:rsidR="00B61D25">
        <w:t>and thus denied the right to an adequate standard of living</w:t>
      </w:r>
      <w:proofErr w:type="gramEnd"/>
      <w:r w:rsidR="00533D48">
        <w:t xml:space="preserve">. It is also concerned that income inequality </w:t>
      </w:r>
      <w:r w:rsidR="00B50320">
        <w:t>continues to grow</w:t>
      </w:r>
      <w:r w:rsidR="00533D48">
        <w:t xml:space="preserve"> in the State party</w:t>
      </w:r>
      <w:r w:rsidR="00AC7FC5">
        <w:t xml:space="preserve">. While welcoming the lowering of </w:t>
      </w:r>
      <w:r w:rsidR="008F0182">
        <w:t xml:space="preserve">the value added tax </w:t>
      </w:r>
      <w:r w:rsidR="00AA4628">
        <w:t xml:space="preserve">on essential consumer items, the Committee also regrets </w:t>
      </w:r>
      <w:r w:rsidR="00533D48">
        <w:t>that the State party’s tax system</w:t>
      </w:r>
      <w:r w:rsidR="00AA4628">
        <w:t xml:space="preserve">, including the low level of the flat tax on </w:t>
      </w:r>
      <w:r w:rsidR="00A26FC4">
        <w:t xml:space="preserve">personal and </w:t>
      </w:r>
      <w:r w:rsidR="00AA4628">
        <w:t>corporate income,</w:t>
      </w:r>
      <w:r w:rsidR="00533D48">
        <w:t xml:space="preserve"> </w:t>
      </w:r>
      <w:r w:rsidR="00715681">
        <w:t>is in</w:t>
      </w:r>
      <w:r w:rsidR="00AC7FC5">
        <w:t xml:space="preserve">effective in </w:t>
      </w:r>
      <w:r w:rsidR="00B61D25">
        <w:t>reducing poverty and in</w:t>
      </w:r>
      <w:r w:rsidR="00A26FC4">
        <w:t xml:space="preserve"> </w:t>
      </w:r>
      <w:r w:rsidR="00AC7FC5">
        <w:t>ensuring appropriate</w:t>
      </w:r>
      <w:r w:rsidR="00533D48">
        <w:t xml:space="preserve"> redistribution of income (art.</w:t>
      </w:r>
      <w:r w:rsidR="00D33D78">
        <w:t> </w:t>
      </w:r>
      <w:r w:rsidR="00533D48">
        <w:t xml:space="preserve">11). </w:t>
      </w:r>
    </w:p>
    <w:p w14:paraId="60A20030" w14:textId="2F80D6EE" w:rsidR="001C4B16" w:rsidRPr="00533D48" w:rsidRDefault="00A170FC" w:rsidP="00306951">
      <w:pPr>
        <w:pStyle w:val="SingleTxtG"/>
        <w:tabs>
          <w:tab w:val="left" w:pos="1701"/>
        </w:tabs>
        <w:rPr>
          <w:b/>
        </w:rPr>
      </w:pPr>
      <w:r w:rsidRPr="00533D48">
        <w:t>4</w:t>
      </w:r>
      <w:r>
        <w:t>2</w:t>
      </w:r>
      <w:r w:rsidR="00306951" w:rsidRPr="00533D48">
        <w:t>.</w:t>
      </w:r>
      <w:r w:rsidR="00306951" w:rsidRPr="00533D48">
        <w:tab/>
      </w:r>
      <w:r w:rsidR="00533D48" w:rsidRPr="00533D48">
        <w:rPr>
          <w:b/>
        </w:rPr>
        <w:t xml:space="preserve">The Committee recommends that the State party intensify its efforts </w:t>
      </w:r>
      <w:r w:rsidR="007B6035">
        <w:rPr>
          <w:b/>
        </w:rPr>
        <w:t>to combat</w:t>
      </w:r>
      <w:r w:rsidR="00533D48" w:rsidRPr="00533D48">
        <w:rPr>
          <w:b/>
        </w:rPr>
        <w:t xml:space="preserve"> poverty, including through the comprehensive analysis of the needs of the most disadvantaged and marginalized individuals and groups and </w:t>
      </w:r>
      <w:r w:rsidR="000F0766">
        <w:rPr>
          <w:b/>
        </w:rPr>
        <w:t xml:space="preserve">the </w:t>
      </w:r>
      <w:r w:rsidR="00533D48" w:rsidRPr="00533D48">
        <w:rPr>
          <w:b/>
        </w:rPr>
        <w:t xml:space="preserve">adoption of concrete and targeted measures to address them. </w:t>
      </w:r>
      <w:r w:rsidR="00B61D25">
        <w:rPr>
          <w:b/>
        </w:rPr>
        <w:t xml:space="preserve">Such </w:t>
      </w:r>
      <w:r w:rsidR="00A26FC4">
        <w:rPr>
          <w:b/>
        </w:rPr>
        <w:t xml:space="preserve">measures </w:t>
      </w:r>
      <w:r w:rsidR="000F0766">
        <w:rPr>
          <w:b/>
        </w:rPr>
        <w:t>could include</w:t>
      </w:r>
      <w:r w:rsidR="00B61D25">
        <w:rPr>
          <w:b/>
        </w:rPr>
        <w:t xml:space="preserve"> </w:t>
      </w:r>
      <w:r w:rsidR="00533D48" w:rsidRPr="00533D48">
        <w:rPr>
          <w:b/>
        </w:rPr>
        <w:t>effective measures to reduce income inequality</w:t>
      </w:r>
      <w:r w:rsidR="00533D48">
        <w:rPr>
          <w:b/>
        </w:rPr>
        <w:t xml:space="preserve"> among </w:t>
      </w:r>
      <w:r w:rsidR="000F0766">
        <w:rPr>
          <w:b/>
        </w:rPr>
        <w:t xml:space="preserve">the </w:t>
      </w:r>
      <w:r w:rsidR="00533D48">
        <w:rPr>
          <w:b/>
        </w:rPr>
        <w:t>population</w:t>
      </w:r>
      <w:r w:rsidR="00533D48" w:rsidRPr="00533D48">
        <w:rPr>
          <w:b/>
        </w:rPr>
        <w:t xml:space="preserve">, including </w:t>
      </w:r>
      <w:r w:rsidR="00533D48">
        <w:rPr>
          <w:b/>
        </w:rPr>
        <w:t xml:space="preserve">through reforms </w:t>
      </w:r>
      <w:r w:rsidR="00425713">
        <w:rPr>
          <w:b/>
        </w:rPr>
        <w:t xml:space="preserve">of </w:t>
      </w:r>
      <w:r w:rsidR="00533D48">
        <w:rPr>
          <w:b/>
        </w:rPr>
        <w:t>the tax system and the social security system</w:t>
      </w:r>
      <w:r w:rsidR="00533D48" w:rsidRPr="00533D48">
        <w:rPr>
          <w:b/>
        </w:rPr>
        <w:t xml:space="preserve">. </w:t>
      </w:r>
      <w:r w:rsidR="00740157" w:rsidRPr="007826C5">
        <w:rPr>
          <w:rFonts w:eastAsia="SimSun"/>
          <w:b/>
        </w:rPr>
        <w:t xml:space="preserve">The Committee draws the State party’s attention to its statement </w:t>
      </w:r>
      <w:r w:rsidR="00740157">
        <w:rPr>
          <w:rFonts w:eastAsia="SimSun"/>
          <w:b/>
        </w:rPr>
        <w:t>on</w:t>
      </w:r>
      <w:r w:rsidR="00740157" w:rsidRPr="007826C5">
        <w:rPr>
          <w:rFonts w:eastAsia="SimSun"/>
          <w:b/>
        </w:rPr>
        <w:t xml:space="preserve"> poverty and the International Covenant on Economic, Social and Cultural Rights (E/C.12/2001/10).</w:t>
      </w:r>
      <w:r w:rsidR="00A26FC4">
        <w:rPr>
          <w:rFonts w:eastAsia="SimSun"/>
          <w:b/>
        </w:rPr>
        <w:t xml:space="preserve"> </w:t>
      </w:r>
    </w:p>
    <w:p w14:paraId="55EDA0C4" w14:textId="7FC5D54C" w:rsidR="009D3B03" w:rsidRPr="007C209B" w:rsidRDefault="00606268" w:rsidP="00606268">
      <w:pPr>
        <w:pStyle w:val="H23G"/>
        <w:ind w:firstLine="0"/>
      </w:pPr>
      <w:r>
        <w:t>Right to a</w:t>
      </w:r>
      <w:r w:rsidR="009D3B03" w:rsidRPr="007C209B">
        <w:t>dequate food</w:t>
      </w:r>
    </w:p>
    <w:p w14:paraId="5B75F580" w14:textId="0C9C2739" w:rsidR="003F7C05" w:rsidRDefault="00A26FC4" w:rsidP="00306951">
      <w:pPr>
        <w:pStyle w:val="SingleTxtG"/>
        <w:tabs>
          <w:tab w:val="left" w:pos="1701"/>
        </w:tabs>
      </w:pPr>
      <w:r>
        <w:t>4</w:t>
      </w:r>
      <w:r w:rsidR="00A170FC">
        <w:t>3</w:t>
      </w:r>
      <w:r w:rsidR="00306951">
        <w:t>.</w:t>
      </w:r>
      <w:r w:rsidR="00306951">
        <w:tab/>
      </w:r>
      <w:r w:rsidR="00533D48">
        <w:t xml:space="preserve">The </w:t>
      </w:r>
      <w:r w:rsidR="006D235C">
        <w:t>Committe</w:t>
      </w:r>
      <w:r w:rsidR="00533D48">
        <w:t xml:space="preserve">e is concerned </w:t>
      </w:r>
      <w:r w:rsidR="00643B32">
        <w:t>at the high proportion of household budget</w:t>
      </w:r>
      <w:r w:rsidR="000F0766">
        <w:t>s</w:t>
      </w:r>
      <w:r w:rsidR="00961E99" w:rsidRPr="00B50320">
        <w:t xml:space="preserve"> </w:t>
      </w:r>
      <w:r w:rsidR="00B50320" w:rsidRPr="00B50320">
        <w:t>s</w:t>
      </w:r>
      <w:r w:rsidR="00B50320">
        <w:t>p</w:t>
      </w:r>
      <w:r w:rsidR="00643B32">
        <w:t>ent on food</w:t>
      </w:r>
      <w:r w:rsidR="00B20855">
        <w:t>. It is also concerned</w:t>
      </w:r>
      <w:r w:rsidR="00F87065">
        <w:t xml:space="preserve"> </w:t>
      </w:r>
      <w:r w:rsidR="00321155">
        <w:t>at the high malnutrition rates among Roma children and children living in rural areas</w:t>
      </w:r>
      <w:r w:rsidR="0086595E">
        <w:t>. It notes</w:t>
      </w:r>
      <w:r w:rsidR="0033641B">
        <w:t xml:space="preserve"> the prevalence of nutrition-related diseases, including obesity and micronutrient</w:t>
      </w:r>
      <w:r w:rsidR="000F0766">
        <w:t xml:space="preserve"> </w:t>
      </w:r>
      <w:r w:rsidR="0086595E">
        <w:t>deficiencies</w:t>
      </w:r>
      <w:r w:rsidR="007B16E9">
        <w:t xml:space="preserve"> (art.</w:t>
      </w:r>
      <w:r w:rsidR="00D33D78">
        <w:t> </w:t>
      </w:r>
      <w:r w:rsidR="007B16E9">
        <w:t>11).</w:t>
      </w:r>
    </w:p>
    <w:p w14:paraId="06093B9A" w14:textId="26B859A6" w:rsidR="009D3B03" w:rsidRPr="00321155" w:rsidRDefault="00A26FC4" w:rsidP="00306951">
      <w:pPr>
        <w:pStyle w:val="SingleTxtG"/>
        <w:tabs>
          <w:tab w:val="left" w:pos="1701"/>
        </w:tabs>
        <w:rPr>
          <w:rFonts w:eastAsia="Calibri"/>
          <w:b/>
        </w:rPr>
      </w:pPr>
      <w:r w:rsidRPr="00321155">
        <w:rPr>
          <w:rFonts w:eastAsia="Calibri"/>
        </w:rPr>
        <w:t>4</w:t>
      </w:r>
      <w:r w:rsidR="00A170FC">
        <w:rPr>
          <w:rFonts w:eastAsia="Calibri"/>
        </w:rPr>
        <w:t>4</w:t>
      </w:r>
      <w:r w:rsidR="00306951" w:rsidRPr="00321155">
        <w:rPr>
          <w:rFonts w:eastAsia="Calibri"/>
        </w:rPr>
        <w:t>.</w:t>
      </w:r>
      <w:r w:rsidR="00306951" w:rsidRPr="00321155">
        <w:rPr>
          <w:rFonts w:eastAsia="Calibri"/>
        </w:rPr>
        <w:tab/>
      </w:r>
      <w:r w:rsidR="003F7C05" w:rsidRPr="00321155">
        <w:rPr>
          <w:b/>
        </w:rPr>
        <w:t>The Committee recommends that the State party take the steps necessary to</w:t>
      </w:r>
      <w:r w:rsidR="0033641B" w:rsidRPr="00321155">
        <w:rPr>
          <w:b/>
        </w:rPr>
        <w:t xml:space="preserve"> </w:t>
      </w:r>
      <w:r w:rsidR="00606268">
        <w:rPr>
          <w:b/>
        </w:rPr>
        <w:t xml:space="preserve">protect the right to adequate food, including the adoption of </w:t>
      </w:r>
      <w:r w:rsidR="0033641B" w:rsidRPr="00321155">
        <w:rPr>
          <w:b/>
        </w:rPr>
        <w:t xml:space="preserve">a national </w:t>
      </w:r>
      <w:r w:rsidR="0086595E">
        <w:rPr>
          <w:b/>
        </w:rPr>
        <w:t>strategy</w:t>
      </w:r>
      <w:r w:rsidR="00B20855">
        <w:rPr>
          <w:b/>
        </w:rPr>
        <w:t xml:space="preserve">. </w:t>
      </w:r>
      <w:r w:rsidR="00B61D25">
        <w:rPr>
          <w:b/>
        </w:rPr>
        <w:t>T</w:t>
      </w:r>
      <w:r w:rsidR="00B20855">
        <w:rPr>
          <w:b/>
        </w:rPr>
        <w:t>he State party</w:t>
      </w:r>
      <w:r w:rsidR="00B61D25">
        <w:rPr>
          <w:b/>
        </w:rPr>
        <w:t xml:space="preserve">’s attention </w:t>
      </w:r>
      <w:proofErr w:type="gramStart"/>
      <w:r w:rsidR="00B61D25">
        <w:rPr>
          <w:b/>
        </w:rPr>
        <w:t>is drawn</w:t>
      </w:r>
      <w:proofErr w:type="gramEnd"/>
      <w:r w:rsidR="00B61D25">
        <w:rPr>
          <w:b/>
        </w:rPr>
        <w:t xml:space="preserve"> to</w:t>
      </w:r>
      <w:r w:rsidR="00B20855">
        <w:rPr>
          <w:b/>
        </w:rPr>
        <w:t xml:space="preserve"> </w:t>
      </w:r>
      <w:r w:rsidR="0033641B" w:rsidRPr="00321155">
        <w:rPr>
          <w:b/>
        </w:rPr>
        <w:t xml:space="preserve">general comment No. 12 (1999) on the right to adequate food and the Voluntary Guidelines </w:t>
      </w:r>
      <w:r w:rsidR="008B7332">
        <w:rPr>
          <w:b/>
        </w:rPr>
        <w:t>t</w:t>
      </w:r>
      <w:r w:rsidR="008B7332" w:rsidRPr="00321155">
        <w:rPr>
          <w:b/>
        </w:rPr>
        <w:t xml:space="preserve">o Support </w:t>
      </w:r>
      <w:r w:rsidR="008B7332">
        <w:rPr>
          <w:b/>
        </w:rPr>
        <w:t>t</w:t>
      </w:r>
      <w:r w:rsidR="008B7332" w:rsidRPr="00321155">
        <w:rPr>
          <w:b/>
        </w:rPr>
        <w:t xml:space="preserve">he Progressive Realization </w:t>
      </w:r>
      <w:r w:rsidR="008B7332">
        <w:rPr>
          <w:b/>
        </w:rPr>
        <w:t>o</w:t>
      </w:r>
      <w:r w:rsidR="008B7332" w:rsidRPr="00321155">
        <w:rPr>
          <w:b/>
        </w:rPr>
        <w:t xml:space="preserve">f </w:t>
      </w:r>
      <w:r w:rsidR="008B7332">
        <w:rPr>
          <w:b/>
        </w:rPr>
        <w:t>t</w:t>
      </w:r>
      <w:r w:rsidR="008B7332" w:rsidRPr="00321155">
        <w:rPr>
          <w:b/>
        </w:rPr>
        <w:t xml:space="preserve">he Right </w:t>
      </w:r>
      <w:r w:rsidR="008B7332">
        <w:rPr>
          <w:b/>
        </w:rPr>
        <w:t>t</w:t>
      </w:r>
      <w:r w:rsidR="008B7332" w:rsidRPr="00321155">
        <w:rPr>
          <w:b/>
        </w:rPr>
        <w:t xml:space="preserve">o Adequate Food </w:t>
      </w:r>
      <w:r w:rsidR="008B7332">
        <w:rPr>
          <w:b/>
        </w:rPr>
        <w:t>i</w:t>
      </w:r>
      <w:r w:rsidR="008B7332" w:rsidRPr="00321155">
        <w:rPr>
          <w:b/>
        </w:rPr>
        <w:t xml:space="preserve">n </w:t>
      </w:r>
      <w:r w:rsidR="008B7332">
        <w:rPr>
          <w:b/>
        </w:rPr>
        <w:t>t</w:t>
      </w:r>
      <w:r w:rsidR="008B7332" w:rsidRPr="00321155">
        <w:rPr>
          <w:b/>
        </w:rPr>
        <w:t xml:space="preserve">he Context </w:t>
      </w:r>
      <w:r w:rsidR="008B7332">
        <w:rPr>
          <w:b/>
        </w:rPr>
        <w:t>o</w:t>
      </w:r>
      <w:r w:rsidR="008B7332" w:rsidRPr="00321155">
        <w:rPr>
          <w:b/>
        </w:rPr>
        <w:t>f National Food Security</w:t>
      </w:r>
      <w:r w:rsidR="00EC13F9">
        <w:rPr>
          <w:b/>
        </w:rPr>
        <w:t xml:space="preserve"> adopted by the Food and Agriculture Organization of the United Nations</w:t>
      </w:r>
      <w:r w:rsidR="0033641B" w:rsidRPr="00321155">
        <w:rPr>
          <w:b/>
        </w:rPr>
        <w:t>.</w:t>
      </w:r>
      <w:r w:rsidR="0033641B" w:rsidRPr="00321155">
        <w:rPr>
          <w:rFonts w:eastAsia="Calibri"/>
          <w:b/>
        </w:rPr>
        <w:t xml:space="preserve"> </w:t>
      </w:r>
    </w:p>
    <w:p w14:paraId="2B402F14" w14:textId="7CA35187" w:rsidR="009D3B03" w:rsidRPr="007C209B" w:rsidRDefault="00B07E37" w:rsidP="002E4E24">
      <w:pPr>
        <w:pStyle w:val="H23G"/>
        <w:ind w:firstLine="0"/>
      </w:pPr>
      <w:r w:rsidRPr="00B07E37">
        <w:t>Right to housing</w:t>
      </w:r>
    </w:p>
    <w:p w14:paraId="6B93E075" w14:textId="5D997BB0" w:rsidR="00996D74" w:rsidRPr="009B5779" w:rsidRDefault="00A26FC4" w:rsidP="00306951">
      <w:pPr>
        <w:pStyle w:val="SingleTxtG"/>
        <w:tabs>
          <w:tab w:val="left" w:pos="1701"/>
        </w:tabs>
        <w:rPr>
          <w:lang w:val="en-US"/>
        </w:rPr>
      </w:pPr>
      <w:r w:rsidRPr="009B5779">
        <w:rPr>
          <w:lang w:val="en-US"/>
        </w:rPr>
        <w:t>4</w:t>
      </w:r>
      <w:r w:rsidR="00A170FC">
        <w:rPr>
          <w:lang w:val="en-US"/>
        </w:rPr>
        <w:t>5</w:t>
      </w:r>
      <w:r w:rsidR="00306951" w:rsidRPr="009B5779">
        <w:rPr>
          <w:lang w:val="en-US"/>
        </w:rPr>
        <w:t>.</w:t>
      </w:r>
      <w:r w:rsidR="00306951" w:rsidRPr="009B5779">
        <w:rPr>
          <w:lang w:val="en-US"/>
        </w:rPr>
        <w:tab/>
      </w:r>
      <w:r w:rsidR="00996D74">
        <w:t xml:space="preserve">The Committee is concerned at the </w:t>
      </w:r>
      <w:r w:rsidR="00996D74" w:rsidRPr="00A63B36">
        <w:t xml:space="preserve">lack of effective measures to provide social housing for disadvantaged and marginalized </w:t>
      </w:r>
      <w:r w:rsidR="008D2484" w:rsidRPr="00A63B36">
        <w:t xml:space="preserve">individuals and </w:t>
      </w:r>
      <w:r w:rsidR="00996D74" w:rsidRPr="00A63B36">
        <w:t>families and at the large proportion of the population, particularly Roma families, living in informal settlements in poor living conditions with limited access to basic services</w:t>
      </w:r>
      <w:r w:rsidR="000842BF" w:rsidRPr="00A63B36">
        <w:t xml:space="preserve"> and infrastructure</w:t>
      </w:r>
      <w:r w:rsidR="00996D74">
        <w:t xml:space="preserve">, health care and education. </w:t>
      </w:r>
      <w:r w:rsidR="001030FA">
        <w:t xml:space="preserve">It is also concerned </w:t>
      </w:r>
      <w:r w:rsidR="00712DB2">
        <w:t>about the poor living conditions in which the internall</w:t>
      </w:r>
      <w:r w:rsidR="00B20855">
        <w:t>y</w:t>
      </w:r>
      <w:r w:rsidR="00712DB2">
        <w:t xml:space="preserve"> displaced persons continue to live in collective centres</w:t>
      </w:r>
      <w:r w:rsidR="00B61D25">
        <w:t>,</w:t>
      </w:r>
      <w:r w:rsidR="00712DB2">
        <w:t xml:space="preserve"> and </w:t>
      </w:r>
      <w:r w:rsidR="001030FA">
        <w:t xml:space="preserve">that Roma families living in informal settlements are under constant threat of eviction </w:t>
      </w:r>
      <w:r w:rsidR="001B3001">
        <w:t xml:space="preserve">owing </w:t>
      </w:r>
      <w:r w:rsidR="001030FA">
        <w:t xml:space="preserve">to the lack of legal security of tenure </w:t>
      </w:r>
      <w:r w:rsidR="001030FA" w:rsidRPr="009B5779">
        <w:rPr>
          <w:lang w:val="en-US"/>
        </w:rPr>
        <w:t>(art</w:t>
      </w:r>
      <w:r w:rsidR="00425713">
        <w:rPr>
          <w:lang w:val="en-US"/>
        </w:rPr>
        <w:t>.</w:t>
      </w:r>
      <w:r w:rsidR="00D33D78">
        <w:rPr>
          <w:lang w:val="en-US"/>
        </w:rPr>
        <w:t> </w:t>
      </w:r>
      <w:r w:rsidR="001030FA" w:rsidRPr="009B5779">
        <w:rPr>
          <w:lang w:val="en-US"/>
        </w:rPr>
        <w:t>11).</w:t>
      </w:r>
    </w:p>
    <w:p w14:paraId="24A5FF1D" w14:textId="60F100C5" w:rsidR="009B5779" w:rsidRPr="00961E99" w:rsidRDefault="00A26FC4" w:rsidP="004D5720">
      <w:pPr>
        <w:pStyle w:val="SingleTxtG"/>
        <w:tabs>
          <w:tab w:val="left" w:pos="1701"/>
        </w:tabs>
        <w:rPr>
          <w:b/>
        </w:rPr>
      </w:pPr>
      <w:r w:rsidRPr="00961E99">
        <w:t>4</w:t>
      </w:r>
      <w:r w:rsidR="00A170FC">
        <w:t>6</w:t>
      </w:r>
      <w:r w:rsidR="00306951" w:rsidRPr="00961E99">
        <w:t>.</w:t>
      </w:r>
      <w:r w:rsidR="00306951" w:rsidRPr="00961E99">
        <w:tab/>
      </w:r>
      <w:r w:rsidR="00961E99">
        <w:rPr>
          <w:b/>
        </w:rPr>
        <w:t>T</w:t>
      </w:r>
      <w:r w:rsidR="001030FA" w:rsidRPr="009B5779">
        <w:rPr>
          <w:b/>
        </w:rPr>
        <w:t xml:space="preserve">he Committee recommends that the State party take all the measures necessary to provide affordable social housing units for disadvantaged and </w:t>
      </w:r>
      <w:r w:rsidR="001030FA" w:rsidRPr="00A63B36">
        <w:rPr>
          <w:b/>
        </w:rPr>
        <w:t xml:space="preserve">marginalized </w:t>
      </w:r>
      <w:r w:rsidR="008D2484" w:rsidRPr="00A63B36">
        <w:rPr>
          <w:b/>
        </w:rPr>
        <w:t xml:space="preserve">individuals and </w:t>
      </w:r>
      <w:r w:rsidR="001030FA" w:rsidRPr="00A63B36">
        <w:rPr>
          <w:b/>
        </w:rPr>
        <w:t>families</w:t>
      </w:r>
      <w:r w:rsidR="00712DB2">
        <w:rPr>
          <w:b/>
        </w:rPr>
        <w:t>, including especially Roma families</w:t>
      </w:r>
      <w:r w:rsidR="001B3001">
        <w:rPr>
          <w:b/>
        </w:rPr>
        <w:t>,</w:t>
      </w:r>
      <w:r w:rsidR="001030FA" w:rsidRPr="00A63B36">
        <w:rPr>
          <w:b/>
        </w:rPr>
        <w:t xml:space="preserve"> and to improve living conditions in informal settlements</w:t>
      </w:r>
      <w:r w:rsidR="00712DB2">
        <w:rPr>
          <w:b/>
        </w:rPr>
        <w:t xml:space="preserve"> and collective centres</w:t>
      </w:r>
      <w:r w:rsidR="001030FA" w:rsidRPr="00A63B36">
        <w:rPr>
          <w:b/>
        </w:rPr>
        <w:t xml:space="preserve">. It also recommends that the State party take concrete steps to guarantee security of tenure for all residents of informal settlements, </w:t>
      </w:r>
      <w:r w:rsidR="009B5779" w:rsidRPr="00A63B36">
        <w:rPr>
          <w:b/>
        </w:rPr>
        <w:t>particularly</w:t>
      </w:r>
      <w:r w:rsidR="001030FA" w:rsidRPr="00A63B36">
        <w:rPr>
          <w:b/>
        </w:rPr>
        <w:t xml:space="preserve"> Roma</w:t>
      </w:r>
      <w:r w:rsidR="009B5779" w:rsidRPr="00A63B36">
        <w:rPr>
          <w:b/>
        </w:rPr>
        <w:t xml:space="preserve">, and to </w:t>
      </w:r>
      <w:r w:rsidR="00B61D25">
        <w:rPr>
          <w:b/>
        </w:rPr>
        <w:t xml:space="preserve">provide them with such assistance as may be required to enable </w:t>
      </w:r>
      <w:r w:rsidR="00311847">
        <w:rPr>
          <w:b/>
        </w:rPr>
        <w:t>them to benefit from</w:t>
      </w:r>
      <w:r w:rsidR="00311847" w:rsidRPr="009B5779">
        <w:rPr>
          <w:b/>
        </w:rPr>
        <w:t xml:space="preserve"> </w:t>
      </w:r>
      <w:r w:rsidR="009B5779" w:rsidRPr="00961E99">
        <w:rPr>
          <w:b/>
        </w:rPr>
        <w:t>the Law on the Legalization of Illegally Constructed Buildings</w:t>
      </w:r>
      <w:r w:rsidR="001B3001">
        <w:rPr>
          <w:b/>
        </w:rPr>
        <w:t xml:space="preserve"> of 2011</w:t>
      </w:r>
      <w:r w:rsidR="009B5779" w:rsidRPr="00961E99">
        <w:rPr>
          <w:b/>
        </w:rPr>
        <w:t>.</w:t>
      </w:r>
      <w:r w:rsidR="00712DB2">
        <w:rPr>
          <w:b/>
        </w:rPr>
        <w:t xml:space="preserve"> The Committee urges the State party to adopt a legal framework establishing procedures to </w:t>
      </w:r>
      <w:proofErr w:type="gramStart"/>
      <w:r w:rsidR="00712DB2">
        <w:rPr>
          <w:b/>
        </w:rPr>
        <w:t>be followed</w:t>
      </w:r>
      <w:proofErr w:type="gramEnd"/>
      <w:r w:rsidR="00712DB2">
        <w:rPr>
          <w:b/>
        </w:rPr>
        <w:t xml:space="preserve"> in the case of evictions </w:t>
      </w:r>
      <w:r w:rsidR="001B3001">
        <w:rPr>
          <w:b/>
        </w:rPr>
        <w:t xml:space="preserve">that is </w:t>
      </w:r>
      <w:r w:rsidR="00712DB2">
        <w:rPr>
          <w:b/>
        </w:rPr>
        <w:t xml:space="preserve">in line with </w:t>
      </w:r>
      <w:r w:rsidR="001B3001">
        <w:rPr>
          <w:b/>
        </w:rPr>
        <w:t xml:space="preserve">the </w:t>
      </w:r>
      <w:r w:rsidR="00712DB2">
        <w:rPr>
          <w:b/>
        </w:rPr>
        <w:t xml:space="preserve">international standards and guidelines contained in general comment </w:t>
      </w:r>
      <w:r w:rsidR="001B3001">
        <w:rPr>
          <w:b/>
        </w:rPr>
        <w:t>N</w:t>
      </w:r>
      <w:r w:rsidR="00712DB2">
        <w:rPr>
          <w:b/>
        </w:rPr>
        <w:t>o.</w:t>
      </w:r>
      <w:r w:rsidR="00B61D25">
        <w:rPr>
          <w:b/>
        </w:rPr>
        <w:t xml:space="preserve"> 7 (1997) on </w:t>
      </w:r>
      <w:r w:rsidR="001B3001">
        <w:rPr>
          <w:b/>
        </w:rPr>
        <w:t xml:space="preserve">the right to adequate housing: </w:t>
      </w:r>
      <w:r w:rsidR="00B61D25">
        <w:rPr>
          <w:b/>
        </w:rPr>
        <w:t>forced evictions.</w:t>
      </w:r>
      <w:r w:rsidR="001B5FD7">
        <w:rPr>
          <w:b/>
        </w:rPr>
        <w:t xml:space="preserve"> </w:t>
      </w:r>
    </w:p>
    <w:p w14:paraId="7EB79203" w14:textId="424CBF99" w:rsidR="009D3B03" w:rsidRPr="007C209B" w:rsidRDefault="00B07E37" w:rsidP="002E4E24">
      <w:pPr>
        <w:pStyle w:val="H23G"/>
        <w:ind w:firstLine="0"/>
      </w:pPr>
      <w:r>
        <w:t>Access to health</w:t>
      </w:r>
      <w:r w:rsidR="001B3001">
        <w:t>-</w:t>
      </w:r>
      <w:r w:rsidR="00752416">
        <w:t>care</w:t>
      </w:r>
      <w:r w:rsidR="00D666E6">
        <w:t xml:space="preserve"> services</w:t>
      </w:r>
    </w:p>
    <w:p w14:paraId="7E31A89A" w14:textId="37866088" w:rsidR="00705496" w:rsidRPr="00A63B36" w:rsidRDefault="00A170FC" w:rsidP="00306951">
      <w:pPr>
        <w:pStyle w:val="SingleTxtG"/>
        <w:tabs>
          <w:tab w:val="left" w:pos="1701"/>
        </w:tabs>
      </w:pPr>
      <w:r w:rsidRPr="00A63B36">
        <w:t>4</w:t>
      </w:r>
      <w:r>
        <w:t>7</w:t>
      </w:r>
      <w:r w:rsidR="00306951" w:rsidRPr="00A63B36">
        <w:t>.</w:t>
      </w:r>
      <w:r w:rsidR="00306951" w:rsidRPr="00A63B36">
        <w:tab/>
      </w:r>
      <w:r w:rsidR="009B5779">
        <w:t xml:space="preserve">The Committee is concerned </w:t>
      </w:r>
      <w:r w:rsidR="006641AB">
        <w:t xml:space="preserve">at </w:t>
      </w:r>
      <w:r w:rsidR="00705496">
        <w:t xml:space="preserve">the </w:t>
      </w:r>
      <w:r w:rsidR="00106DAD">
        <w:t>insufficient</w:t>
      </w:r>
      <w:r w:rsidR="00705496">
        <w:t xml:space="preserve"> </w:t>
      </w:r>
      <w:r w:rsidR="00705496" w:rsidRPr="00A63B36">
        <w:t xml:space="preserve">funding </w:t>
      </w:r>
      <w:r w:rsidR="001B3001">
        <w:t xml:space="preserve">allocated </w:t>
      </w:r>
      <w:r w:rsidR="00705496" w:rsidRPr="00A63B36">
        <w:t xml:space="preserve">to the health sector, </w:t>
      </w:r>
      <w:r w:rsidR="006641AB" w:rsidRPr="00A63B36">
        <w:t>the shortage of qualified medical professionals</w:t>
      </w:r>
      <w:r w:rsidR="00705496" w:rsidRPr="00A63B36">
        <w:t xml:space="preserve"> and</w:t>
      </w:r>
      <w:r w:rsidR="006641AB" w:rsidRPr="00A63B36">
        <w:t xml:space="preserve"> the </w:t>
      </w:r>
      <w:r w:rsidR="00705496" w:rsidRPr="00A63B36">
        <w:t>inadequate</w:t>
      </w:r>
      <w:r w:rsidR="006641AB" w:rsidRPr="00A63B36">
        <w:t xml:space="preserve"> coverage and benefits </w:t>
      </w:r>
      <w:r w:rsidR="001B3001">
        <w:t>under</w:t>
      </w:r>
      <w:r w:rsidR="001B3001" w:rsidRPr="00A63B36">
        <w:t xml:space="preserve"> </w:t>
      </w:r>
      <w:r w:rsidR="006641AB" w:rsidRPr="00A63B36">
        <w:t>the Health Insurance Fund</w:t>
      </w:r>
      <w:r w:rsidR="00705496" w:rsidRPr="00A63B36">
        <w:t>, which result in limited access to health</w:t>
      </w:r>
      <w:r w:rsidR="001B3001">
        <w:t>-</w:t>
      </w:r>
      <w:r w:rsidR="00705496" w:rsidRPr="00A63B36">
        <w:t xml:space="preserve">care services, particularly </w:t>
      </w:r>
      <w:r w:rsidR="008D2484" w:rsidRPr="00A63B36">
        <w:t xml:space="preserve">for </w:t>
      </w:r>
      <w:r w:rsidR="00705496" w:rsidRPr="00A63B36">
        <w:t>Roma and those living in rural areas</w:t>
      </w:r>
      <w:r w:rsidR="006641AB" w:rsidRPr="00A63B36">
        <w:t xml:space="preserve">. </w:t>
      </w:r>
      <w:r w:rsidR="00705496" w:rsidRPr="00A63B36">
        <w:t>It is also concerned that some private health</w:t>
      </w:r>
      <w:r w:rsidR="001B3001">
        <w:t>-</w:t>
      </w:r>
      <w:r w:rsidR="00705496" w:rsidRPr="00A63B36">
        <w:t>service providers charge fees for services that sho</w:t>
      </w:r>
      <w:r w:rsidR="007B16E9" w:rsidRPr="00A63B36">
        <w:t>uld be provided free of charge</w:t>
      </w:r>
      <w:r w:rsidR="001B3001">
        <w:t>,</w:t>
      </w:r>
      <w:r w:rsidR="001B3001" w:rsidRPr="00A63B36">
        <w:t xml:space="preserve"> </w:t>
      </w:r>
      <w:r w:rsidR="008D2484" w:rsidRPr="00A63B36">
        <w:t xml:space="preserve">as stipulated by </w:t>
      </w:r>
      <w:r w:rsidR="00A732E8" w:rsidRPr="00A63B36">
        <w:t xml:space="preserve">the </w:t>
      </w:r>
      <w:r w:rsidR="00613BDA" w:rsidRPr="00A63B36">
        <w:t xml:space="preserve">licensing agreements </w:t>
      </w:r>
      <w:r w:rsidR="00A732E8" w:rsidRPr="00A63B36">
        <w:t>under which they operate</w:t>
      </w:r>
      <w:r w:rsidR="00B50320" w:rsidRPr="00A63B36">
        <w:t xml:space="preserve"> </w:t>
      </w:r>
      <w:r w:rsidR="004D5720">
        <w:t>(art. 12).</w:t>
      </w:r>
    </w:p>
    <w:p w14:paraId="7766E7BF" w14:textId="19B66B80" w:rsidR="00A73FF8" w:rsidRPr="00A73FF8" w:rsidRDefault="00A170FC" w:rsidP="004D5720">
      <w:pPr>
        <w:pStyle w:val="SingleTxtG"/>
        <w:tabs>
          <w:tab w:val="left" w:pos="1701"/>
        </w:tabs>
        <w:rPr>
          <w:rFonts w:eastAsia="Calibri"/>
          <w:b/>
        </w:rPr>
      </w:pPr>
      <w:r w:rsidRPr="00A73FF8">
        <w:rPr>
          <w:rFonts w:eastAsia="Calibri"/>
        </w:rPr>
        <w:t>4</w:t>
      </w:r>
      <w:r>
        <w:rPr>
          <w:rFonts w:eastAsia="Calibri"/>
        </w:rPr>
        <w:t>8</w:t>
      </w:r>
      <w:r w:rsidR="00306951" w:rsidRPr="00A73FF8">
        <w:rPr>
          <w:rFonts w:eastAsia="Calibri"/>
        </w:rPr>
        <w:t>.</w:t>
      </w:r>
      <w:r w:rsidR="00306951" w:rsidRPr="00A73FF8">
        <w:rPr>
          <w:rFonts w:eastAsia="Calibri"/>
        </w:rPr>
        <w:tab/>
      </w:r>
      <w:r w:rsidR="006641AB" w:rsidRPr="00A63B36">
        <w:rPr>
          <w:b/>
        </w:rPr>
        <w:t xml:space="preserve">The Committee recommends that the State party intensify its efforts to </w:t>
      </w:r>
      <w:r w:rsidR="00705496" w:rsidRPr="00A63B36">
        <w:rPr>
          <w:b/>
        </w:rPr>
        <w:t>ensure that primary health</w:t>
      </w:r>
      <w:r w:rsidR="001B3001">
        <w:rPr>
          <w:b/>
        </w:rPr>
        <w:t>-</w:t>
      </w:r>
      <w:r w:rsidR="00705496" w:rsidRPr="00A63B36">
        <w:rPr>
          <w:b/>
        </w:rPr>
        <w:t xml:space="preserve">care services are available and accessible </w:t>
      </w:r>
      <w:r w:rsidR="00C00BD0" w:rsidRPr="00A63B36">
        <w:rPr>
          <w:b/>
        </w:rPr>
        <w:t xml:space="preserve">to </w:t>
      </w:r>
      <w:r w:rsidR="00A73FF8" w:rsidRPr="00A63B36">
        <w:rPr>
          <w:b/>
        </w:rPr>
        <w:t xml:space="preserve">all regardless of geographical location, including </w:t>
      </w:r>
      <w:r w:rsidR="001B3001">
        <w:rPr>
          <w:b/>
        </w:rPr>
        <w:t>by</w:t>
      </w:r>
      <w:r w:rsidR="001B3001" w:rsidRPr="00A63B36">
        <w:rPr>
          <w:b/>
        </w:rPr>
        <w:t xml:space="preserve"> </w:t>
      </w:r>
      <w:r w:rsidR="0088069C">
        <w:rPr>
          <w:b/>
        </w:rPr>
        <w:t xml:space="preserve">allocating </w:t>
      </w:r>
      <w:r w:rsidR="00C00BD0" w:rsidRPr="00A63B36">
        <w:rPr>
          <w:b/>
        </w:rPr>
        <w:t xml:space="preserve">adequate </w:t>
      </w:r>
      <w:r w:rsidR="00A73FF8" w:rsidRPr="00A63B36">
        <w:rPr>
          <w:b/>
        </w:rPr>
        <w:t xml:space="preserve">funding </w:t>
      </w:r>
      <w:r w:rsidR="0088069C">
        <w:rPr>
          <w:b/>
        </w:rPr>
        <w:t>to</w:t>
      </w:r>
      <w:r w:rsidR="0088069C" w:rsidRPr="00A63B36">
        <w:rPr>
          <w:b/>
        </w:rPr>
        <w:t xml:space="preserve"> </w:t>
      </w:r>
      <w:r w:rsidR="00A73FF8" w:rsidRPr="00A63B36">
        <w:rPr>
          <w:b/>
        </w:rPr>
        <w:t xml:space="preserve">the health services, securing </w:t>
      </w:r>
      <w:r w:rsidR="001B3001">
        <w:rPr>
          <w:b/>
        </w:rPr>
        <w:t xml:space="preserve">a </w:t>
      </w:r>
      <w:r w:rsidR="00A73FF8" w:rsidRPr="00A63B36">
        <w:rPr>
          <w:b/>
        </w:rPr>
        <w:t xml:space="preserve">sufficient number of qualified medical professionals </w:t>
      </w:r>
      <w:r w:rsidR="00C00BD0" w:rsidRPr="00A63B36">
        <w:rPr>
          <w:b/>
        </w:rPr>
        <w:t xml:space="preserve">and </w:t>
      </w:r>
      <w:r w:rsidR="00A73FF8" w:rsidRPr="00A63B36">
        <w:rPr>
          <w:b/>
        </w:rPr>
        <w:t xml:space="preserve">expanding the coverage and the benefits under the Health Insurance Fund. It </w:t>
      </w:r>
      <w:r w:rsidR="00B03C40" w:rsidRPr="00A63B36">
        <w:rPr>
          <w:b/>
        </w:rPr>
        <w:t xml:space="preserve">urges the State party to </w:t>
      </w:r>
      <w:r w:rsidR="00160008" w:rsidRPr="00A63B36">
        <w:rPr>
          <w:b/>
        </w:rPr>
        <w:t>put an</w:t>
      </w:r>
      <w:r w:rsidR="00A73FF8" w:rsidRPr="00A63B36">
        <w:rPr>
          <w:b/>
        </w:rPr>
        <w:t xml:space="preserve"> </w:t>
      </w:r>
      <w:r w:rsidR="00B03C40" w:rsidRPr="00A63B36">
        <w:rPr>
          <w:b/>
        </w:rPr>
        <w:t xml:space="preserve">immediate </w:t>
      </w:r>
      <w:r w:rsidR="00160008" w:rsidRPr="00A63B36">
        <w:rPr>
          <w:b/>
        </w:rPr>
        <w:t>end to</w:t>
      </w:r>
      <w:r w:rsidR="00A73FF8" w:rsidRPr="00A63B36">
        <w:rPr>
          <w:b/>
        </w:rPr>
        <w:t xml:space="preserve"> the practice of illegally charging fees and to monitor the compliance of private health</w:t>
      </w:r>
      <w:r w:rsidR="001B3001">
        <w:rPr>
          <w:b/>
        </w:rPr>
        <w:t>-</w:t>
      </w:r>
      <w:r w:rsidR="00A73FF8" w:rsidRPr="00A63B36">
        <w:rPr>
          <w:b/>
        </w:rPr>
        <w:t xml:space="preserve">service providers with the </w:t>
      </w:r>
      <w:r w:rsidR="00160008" w:rsidRPr="00A63B36">
        <w:rPr>
          <w:b/>
        </w:rPr>
        <w:t xml:space="preserve">licensing </w:t>
      </w:r>
      <w:r w:rsidR="00A73FF8" w:rsidRPr="00A63B36">
        <w:rPr>
          <w:b/>
        </w:rPr>
        <w:t>agreements</w:t>
      </w:r>
      <w:r w:rsidR="00C00BD0" w:rsidRPr="00A63B36">
        <w:rPr>
          <w:b/>
        </w:rPr>
        <w:t xml:space="preserve"> under which they operate.</w:t>
      </w:r>
    </w:p>
    <w:p w14:paraId="3C134A93" w14:textId="2ECCE1B0" w:rsidR="00056968" w:rsidRPr="00A73FF8" w:rsidRDefault="00056968" w:rsidP="00A73FF8">
      <w:pPr>
        <w:pStyle w:val="H23G"/>
        <w:ind w:firstLine="0"/>
      </w:pPr>
      <w:r w:rsidRPr="00A73FF8">
        <w:t>Sexual and reproductive health</w:t>
      </w:r>
    </w:p>
    <w:p w14:paraId="33BF2EA5" w14:textId="4FB4E3FC" w:rsidR="007E67A9" w:rsidRPr="00A63B36" w:rsidRDefault="00A170FC" w:rsidP="00306951">
      <w:pPr>
        <w:pStyle w:val="SingleTxtG"/>
        <w:tabs>
          <w:tab w:val="left" w:pos="1701"/>
        </w:tabs>
        <w:rPr>
          <w:rFonts w:eastAsia="Calibri"/>
        </w:rPr>
      </w:pPr>
      <w:proofErr w:type="gramStart"/>
      <w:r w:rsidRPr="00A63B36">
        <w:rPr>
          <w:rFonts w:eastAsia="Calibri"/>
        </w:rPr>
        <w:t>4</w:t>
      </w:r>
      <w:r>
        <w:rPr>
          <w:rFonts w:eastAsia="Calibri"/>
        </w:rPr>
        <w:t>9</w:t>
      </w:r>
      <w:r w:rsidR="00306951" w:rsidRPr="00A63B36">
        <w:rPr>
          <w:rFonts w:eastAsia="Calibri"/>
        </w:rPr>
        <w:t>.</w:t>
      </w:r>
      <w:r w:rsidR="00306951" w:rsidRPr="00A63B36">
        <w:rPr>
          <w:rFonts w:eastAsia="Calibri"/>
        </w:rPr>
        <w:tab/>
      </w:r>
      <w:r w:rsidR="00056968" w:rsidRPr="002427D2">
        <w:t xml:space="preserve">The Committee is concerned </w:t>
      </w:r>
      <w:r w:rsidR="006C524F">
        <w:t xml:space="preserve">at </w:t>
      </w:r>
      <w:r w:rsidR="009A0123">
        <w:t xml:space="preserve">the </w:t>
      </w:r>
      <w:r w:rsidR="006C524F">
        <w:t>acute shortage of gynaecologis</w:t>
      </w:r>
      <w:r w:rsidR="009A0123">
        <w:t>ts</w:t>
      </w:r>
      <w:r w:rsidR="006C524F">
        <w:t xml:space="preserve"> in the State party, particularly in rural areas and areas</w:t>
      </w:r>
      <w:r w:rsidR="00CF6317">
        <w:t xml:space="preserve"> with a predominantly Roma population</w:t>
      </w:r>
      <w:r w:rsidR="00CD03EB">
        <w:t xml:space="preserve">; </w:t>
      </w:r>
      <w:r w:rsidR="006C524F">
        <w:t xml:space="preserve">at the limited access to </w:t>
      </w:r>
      <w:r w:rsidR="002427D2">
        <w:t>information on sexual and reproductive health</w:t>
      </w:r>
      <w:r w:rsidR="006C524F">
        <w:t xml:space="preserve">, </w:t>
      </w:r>
      <w:r w:rsidR="006C524F" w:rsidRPr="00A63B36">
        <w:t xml:space="preserve">particularly among young people, </w:t>
      </w:r>
      <w:r w:rsidR="00CD03EB" w:rsidRPr="00A63B36">
        <w:t>and</w:t>
      </w:r>
      <w:r w:rsidR="006C524F" w:rsidRPr="00A63B36">
        <w:t xml:space="preserve"> the inadequate and outdated sex education at school</w:t>
      </w:r>
      <w:r w:rsidR="00CD03EB" w:rsidRPr="00A63B36">
        <w:t>;</w:t>
      </w:r>
      <w:r w:rsidR="006C524F" w:rsidRPr="00A63B36">
        <w:t xml:space="preserve"> </w:t>
      </w:r>
      <w:r w:rsidR="00C00BD0" w:rsidRPr="00A63B36">
        <w:t xml:space="preserve">and </w:t>
      </w:r>
      <w:r w:rsidR="00CF6317">
        <w:t xml:space="preserve">at the </w:t>
      </w:r>
      <w:r w:rsidR="006C524F" w:rsidRPr="00A63B36">
        <w:t>limited access to</w:t>
      </w:r>
      <w:r w:rsidR="002427D2" w:rsidRPr="00A63B36">
        <w:t xml:space="preserve"> modern contraception, particularly among women and </w:t>
      </w:r>
      <w:r w:rsidR="006C524F" w:rsidRPr="00A63B36">
        <w:t>girls</w:t>
      </w:r>
      <w:r w:rsidR="002427D2" w:rsidRPr="00A63B36">
        <w:t>.</w:t>
      </w:r>
      <w:proofErr w:type="gramEnd"/>
      <w:r w:rsidR="002427D2" w:rsidRPr="00A63B36">
        <w:t xml:space="preserve"> </w:t>
      </w:r>
      <w:proofErr w:type="gramStart"/>
      <w:r w:rsidR="002427D2" w:rsidRPr="00A63B36">
        <w:t xml:space="preserve">It is </w:t>
      </w:r>
      <w:r w:rsidR="00CD03EB" w:rsidRPr="00A63B36">
        <w:t>also</w:t>
      </w:r>
      <w:r w:rsidR="002427D2" w:rsidRPr="00A63B36">
        <w:t xml:space="preserve"> concerned </w:t>
      </w:r>
      <w:r w:rsidR="00251532">
        <w:t>that</w:t>
      </w:r>
      <w:r w:rsidR="00251532" w:rsidRPr="00A63B36">
        <w:t xml:space="preserve"> </w:t>
      </w:r>
      <w:r w:rsidR="00C50557" w:rsidRPr="00A63B36">
        <w:t xml:space="preserve">the </w:t>
      </w:r>
      <w:r w:rsidR="008F423E" w:rsidRPr="00A63B36">
        <w:rPr>
          <w:rFonts w:eastAsia="Calibri"/>
        </w:rPr>
        <w:t>Law on Termination of Pregnancy</w:t>
      </w:r>
      <w:r w:rsidR="00B61D25">
        <w:rPr>
          <w:rFonts w:eastAsia="Calibri"/>
        </w:rPr>
        <w:t xml:space="preserve"> </w:t>
      </w:r>
      <w:r w:rsidR="00CF6317">
        <w:rPr>
          <w:rFonts w:eastAsia="Calibri"/>
        </w:rPr>
        <w:t xml:space="preserve">of </w:t>
      </w:r>
      <w:r w:rsidR="00CF6317" w:rsidRPr="00A63B36">
        <w:t xml:space="preserve">2013 </w:t>
      </w:r>
      <w:r w:rsidR="00B61D25">
        <w:rPr>
          <w:rFonts w:eastAsia="Calibri"/>
        </w:rPr>
        <w:t>introduced</w:t>
      </w:r>
      <w:r w:rsidR="00C50557" w:rsidRPr="00A63B36">
        <w:rPr>
          <w:rFonts w:eastAsia="Calibri"/>
        </w:rPr>
        <w:t xml:space="preserve"> </w:t>
      </w:r>
      <w:r w:rsidR="00CF6317">
        <w:rPr>
          <w:rFonts w:eastAsia="Calibri"/>
        </w:rPr>
        <w:t>severe</w:t>
      </w:r>
      <w:r w:rsidR="00EE365A" w:rsidRPr="00A63B36">
        <w:rPr>
          <w:rFonts w:eastAsia="Calibri"/>
        </w:rPr>
        <w:t xml:space="preserve"> penalties </w:t>
      </w:r>
      <w:r w:rsidR="00CF6317">
        <w:rPr>
          <w:rFonts w:eastAsia="Calibri"/>
        </w:rPr>
        <w:t>which</w:t>
      </w:r>
      <w:r w:rsidR="00CF6317" w:rsidRPr="00A63B36">
        <w:rPr>
          <w:rFonts w:eastAsia="Calibri"/>
        </w:rPr>
        <w:t xml:space="preserve"> </w:t>
      </w:r>
      <w:r w:rsidR="00C00BD0" w:rsidRPr="00A63B36">
        <w:rPr>
          <w:rFonts w:eastAsia="Calibri"/>
        </w:rPr>
        <w:t xml:space="preserve">can </w:t>
      </w:r>
      <w:r w:rsidR="00EE365A" w:rsidRPr="00A63B36">
        <w:rPr>
          <w:rFonts w:eastAsia="Calibri"/>
        </w:rPr>
        <w:t xml:space="preserve">be imposed on medical practitioners </w:t>
      </w:r>
      <w:r w:rsidR="00CF6317">
        <w:rPr>
          <w:rFonts w:eastAsia="Calibri"/>
        </w:rPr>
        <w:t xml:space="preserve">who </w:t>
      </w:r>
      <w:r w:rsidR="00EE365A" w:rsidRPr="00A63B36">
        <w:rPr>
          <w:rFonts w:eastAsia="Calibri"/>
        </w:rPr>
        <w:t>perform emergency abortions if it is later determined that the abortion did not comply with the conditions set forth in article 13 of the Law</w:t>
      </w:r>
      <w:r w:rsidR="00E144A3">
        <w:rPr>
          <w:rFonts w:eastAsia="Calibri"/>
        </w:rPr>
        <w:t>;</w:t>
      </w:r>
      <w:r w:rsidR="00B61D25">
        <w:rPr>
          <w:rFonts w:eastAsia="Calibri"/>
        </w:rPr>
        <w:t xml:space="preserve"> </w:t>
      </w:r>
      <w:r w:rsidR="00E144A3">
        <w:rPr>
          <w:rFonts w:eastAsia="Calibri"/>
        </w:rPr>
        <w:t>this</w:t>
      </w:r>
      <w:r w:rsidR="00B61D25">
        <w:rPr>
          <w:rFonts w:eastAsia="Calibri"/>
        </w:rPr>
        <w:t xml:space="preserve"> may have a chilling effect on medical </w:t>
      </w:r>
      <w:r w:rsidR="00FC3B51">
        <w:rPr>
          <w:rFonts w:eastAsia="Calibri"/>
        </w:rPr>
        <w:t>practitioners</w:t>
      </w:r>
      <w:r w:rsidR="00B61D25">
        <w:rPr>
          <w:rFonts w:eastAsia="Calibri"/>
        </w:rPr>
        <w:t xml:space="preserve"> and thus lead to unsafe abortions being practi</w:t>
      </w:r>
      <w:r w:rsidR="00E144A3">
        <w:rPr>
          <w:rFonts w:eastAsia="Calibri"/>
        </w:rPr>
        <w:t>s</w:t>
      </w:r>
      <w:r w:rsidR="00B61D25">
        <w:rPr>
          <w:rFonts w:eastAsia="Calibri"/>
        </w:rPr>
        <w:t>ed in emergency situations.</w:t>
      </w:r>
      <w:proofErr w:type="gramEnd"/>
      <w:r w:rsidR="001B5FD7">
        <w:rPr>
          <w:rFonts w:eastAsia="Calibri"/>
        </w:rPr>
        <w:t xml:space="preserve"> </w:t>
      </w:r>
      <w:r w:rsidR="00E144A3">
        <w:rPr>
          <w:rFonts w:eastAsia="Calibri"/>
        </w:rPr>
        <w:t xml:space="preserve">The </w:t>
      </w:r>
      <w:r w:rsidR="001B5FD7">
        <w:rPr>
          <w:rFonts w:eastAsia="Calibri"/>
        </w:rPr>
        <w:t xml:space="preserve">Committee’s </w:t>
      </w:r>
      <w:r w:rsidR="00E144A3">
        <w:rPr>
          <w:rFonts w:eastAsia="Calibri"/>
        </w:rPr>
        <w:t xml:space="preserve">view on </w:t>
      </w:r>
      <w:r w:rsidR="00807675">
        <w:rPr>
          <w:rFonts w:eastAsia="Calibri"/>
        </w:rPr>
        <w:t>m</w:t>
      </w:r>
      <w:r w:rsidR="00B61D25">
        <w:rPr>
          <w:rFonts w:eastAsia="Calibri"/>
        </w:rPr>
        <w:t>andatory counselling prior to abortion</w:t>
      </w:r>
      <w:r w:rsidR="00807675">
        <w:rPr>
          <w:rFonts w:eastAsia="Calibri"/>
        </w:rPr>
        <w:t xml:space="preserve"> is that </w:t>
      </w:r>
      <w:r w:rsidR="00E144A3">
        <w:rPr>
          <w:rFonts w:eastAsia="Calibri"/>
        </w:rPr>
        <w:t xml:space="preserve">such counselling </w:t>
      </w:r>
      <w:r w:rsidR="00807675">
        <w:rPr>
          <w:rFonts w:eastAsia="Calibri"/>
        </w:rPr>
        <w:t>is</w:t>
      </w:r>
      <w:r w:rsidR="00B61D25">
        <w:rPr>
          <w:rFonts w:eastAsia="Calibri"/>
        </w:rPr>
        <w:t xml:space="preserve"> acceptable</w:t>
      </w:r>
      <w:r w:rsidR="00425713">
        <w:rPr>
          <w:rFonts w:eastAsia="Calibri"/>
        </w:rPr>
        <w:t xml:space="preserve"> only</w:t>
      </w:r>
      <w:r w:rsidR="00B61D25">
        <w:rPr>
          <w:rFonts w:eastAsia="Calibri"/>
        </w:rPr>
        <w:t xml:space="preserve"> if</w:t>
      </w:r>
      <w:r w:rsidR="00E144A3">
        <w:rPr>
          <w:rFonts w:eastAsia="Calibri"/>
        </w:rPr>
        <w:t xml:space="preserve"> it</w:t>
      </w:r>
      <w:r w:rsidR="00B61D25">
        <w:rPr>
          <w:rFonts w:eastAsia="Calibri"/>
        </w:rPr>
        <w:t xml:space="preserve"> is neutral and supports the free and informed choice of the women seeking to </w:t>
      </w:r>
      <w:r w:rsidR="00E144A3">
        <w:rPr>
          <w:rFonts w:eastAsia="Calibri"/>
        </w:rPr>
        <w:t>terminate</w:t>
      </w:r>
      <w:r w:rsidR="00B61D25">
        <w:rPr>
          <w:rFonts w:eastAsia="Calibri"/>
        </w:rPr>
        <w:t xml:space="preserve"> her pregnancy</w:t>
      </w:r>
      <w:r w:rsidR="007B16E9" w:rsidRPr="00A63B36">
        <w:t xml:space="preserve"> (art.</w:t>
      </w:r>
      <w:r w:rsidR="00D33D78">
        <w:t> </w:t>
      </w:r>
      <w:r w:rsidR="007B16E9" w:rsidRPr="00A63B36">
        <w:t>12).</w:t>
      </w:r>
    </w:p>
    <w:p w14:paraId="1F424EE2" w14:textId="253E00A3" w:rsidR="006C524F" w:rsidRPr="00A15428" w:rsidRDefault="00A170FC" w:rsidP="00306951">
      <w:pPr>
        <w:pStyle w:val="SingleTxtG"/>
        <w:tabs>
          <w:tab w:val="left" w:pos="1701"/>
        </w:tabs>
        <w:rPr>
          <w:b/>
          <w:strike/>
        </w:rPr>
      </w:pPr>
      <w:proofErr w:type="gramStart"/>
      <w:r>
        <w:t>50</w:t>
      </w:r>
      <w:r w:rsidR="00306951" w:rsidRPr="00306951">
        <w:t>.</w:t>
      </w:r>
      <w:r w:rsidR="00306951" w:rsidRPr="00306951">
        <w:tab/>
      </w:r>
      <w:r w:rsidR="00C50557" w:rsidRPr="00A63B36">
        <w:rPr>
          <w:b/>
        </w:rPr>
        <w:t>The Committee recommends that the State party take all measures necessary to</w:t>
      </w:r>
      <w:r w:rsidR="00CD03EB" w:rsidRPr="00A63B36">
        <w:rPr>
          <w:b/>
        </w:rPr>
        <w:t xml:space="preserve"> increase the number of gynaecologists </w:t>
      </w:r>
      <w:r w:rsidR="00E144A3">
        <w:rPr>
          <w:b/>
        </w:rPr>
        <w:t xml:space="preserve">in the country </w:t>
      </w:r>
      <w:r w:rsidR="00CD03EB" w:rsidRPr="00A63B36">
        <w:rPr>
          <w:b/>
        </w:rPr>
        <w:t xml:space="preserve">and to ensure that all women have access to gynaecological health services within their municipality, particularly in </w:t>
      </w:r>
      <w:proofErr w:type="spellStart"/>
      <w:r w:rsidR="00CD03EB" w:rsidRPr="00A63B36">
        <w:rPr>
          <w:b/>
        </w:rPr>
        <w:t>Suto</w:t>
      </w:r>
      <w:proofErr w:type="spellEnd"/>
      <w:r w:rsidR="00CD03EB" w:rsidRPr="00A63B36">
        <w:rPr>
          <w:b/>
        </w:rPr>
        <w:t xml:space="preserve"> </w:t>
      </w:r>
      <w:proofErr w:type="spellStart"/>
      <w:r w:rsidR="00CD03EB" w:rsidRPr="00A63B36">
        <w:rPr>
          <w:b/>
        </w:rPr>
        <w:t>Orizari</w:t>
      </w:r>
      <w:proofErr w:type="spellEnd"/>
      <w:r w:rsidR="00CD03EB" w:rsidRPr="00A63B36">
        <w:rPr>
          <w:b/>
        </w:rPr>
        <w:t xml:space="preserve">; </w:t>
      </w:r>
      <w:r w:rsidR="00C00BD0" w:rsidRPr="00A63B36">
        <w:rPr>
          <w:b/>
        </w:rPr>
        <w:t xml:space="preserve">make </w:t>
      </w:r>
      <w:r w:rsidR="00C50557" w:rsidRPr="00A63B36">
        <w:rPr>
          <w:rFonts w:hint="eastAsia"/>
          <w:b/>
        </w:rPr>
        <w:t>information on sexual and reproductive health</w:t>
      </w:r>
      <w:r w:rsidR="00CD03EB" w:rsidRPr="00A63B36">
        <w:rPr>
          <w:b/>
        </w:rPr>
        <w:t xml:space="preserve"> available to the </w:t>
      </w:r>
      <w:r w:rsidR="00C00BD0" w:rsidRPr="00A63B36">
        <w:rPr>
          <w:b/>
        </w:rPr>
        <w:t xml:space="preserve">general </w:t>
      </w:r>
      <w:r w:rsidR="00CD03EB" w:rsidRPr="00A63B36">
        <w:rPr>
          <w:b/>
        </w:rPr>
        <w:t>public; i</w:t>
      </w:r>
      <w:r w:rsidR="009A0123" w:rsidRPr="00A63B36">
        <w:rPr>
          <w:b/>
        </w:rPr>
        <w:t>mprove school education on sexual and reproductive health</w:t>
      </w:r>
      <w:r w:rsidR="00E144A3">
        <w:rPr>
          <w:b/>
          <w:lang w:eastAsia="ko-KR"/>
        </w:rPr>
        <w:t xml:space="preserve"> that</w:t>
      </w:r>
      <w:r w:rsidR="00A63B36" w:rsidRPr="00A63B36">
        <w:rPr>
          <w:rFonts w:hint="eastAsia"/>
          <w:b/>
          <w:lang w:eastAsia="ko-KR"/>
        </w:rPr>
        <w:t xml:space="preserve"> is</w:t>
      </w:r>
      <w:r w:rsidR="00A63B36" w:rsidRPr="00A63B36">
        <w:rPr>
          <w:b/>
        </w:rPr>
        <w:t xml:space="preserve"> </w:t>
      </w:r>
      <w:r w:rsidR="00A63B36" w:rsidRPr="00A63B36">
        <w:rPr>
          <w:rFonts w:hint="eastAsia"/>
          <w:b/>
          <w:lang w:eastAsia="ko-KR"/>
        </w:rPr>
        <w:t xml:space="preserve">up to date, age appropriate </w:t>
      </w:r>
      <w:r w:rsidR="00A63B36">
        <w:rPr>
          <w:rFonts w:hint="eastAsia"/>
          <w:b/>
          <w:lang w:eastAsia="ko-KR"/>
        </w:rPr>
        <w:t xml:space="preserve">and </w:t>
      </w:r>
      <w:r w:rsidR="009A0123" w:rsidRPr="00CD03EB">
        <w:rPr>
          <w:b/>
        </w:rPr>
        <w:t>based on a human rights perspective</w:t>
      </w:r>
      <w:r w:rsidR="00C50557" w:rsidRPr="00CD03EB">
        <w:rPr>
          <w:b/>
        </w:rPr>
        <w:t>;</w:t>
      </w:r>
      <w:r w:rsidR="00CD03EB" w:rsidRPr="00CD03EB">
        <w:rPr>
          <w:b/>
        </w:rPr>
        <w:t xml:space="preserve"> </w:t>
      </w:r>
      <w:r w:rsidR="00E144A3">
        <w:rPr>
          <w:b/>
        </w:rPr>
        <w:t xml:space="preserve">and </w:t>
      </w:r>
      <w:r w:rsidR="00CE5272">
        <w:rPr>
          <w:b/>
        </w:rPr>
        <w:t xml:space="preserve">ensure that </w:t>
      </w:r>
      <w:r w:rsidR="00C50557" w:rsidRPr="00CD03EB">
        <w:rPr>
          <w:b/>
        </w:rPr>
        <w:t>modern contraception</w:t>
      </w:r>
      <w:r w:rsidR="00CD03EB">
        <w:rPr>
          <w:b/>
        </w:rPr>
        <w:t xml:space="preserve"> </w:t>
      </w:r>
      <w:r w:rsidR="00CE5272">
        <w:rPr>
          <w:b/>
        </w:rPr>
        <w:t>methods are affordable to all</w:t>
      </w:r>
      <w:r w:rsidR="00C50557" w:rsidRPr="00CD03EB">
        <w:rPr>
          <w:b/>
        </w:rPr>
        <w:t xml:space="preserve">, including </w:t>
      </w:r>
      <w:r w:rsidR="00CE5272">
        <w:rPr>
          <w:b/>
        </w:rPr>
        <w:t xml:space="preserve">by </w:t>
      </w:r>
      <w:r w:rsidR="00C50557" w:rsidRPr="00CD03EB">
        <w:rPr>
          <w:b/>
        </w:rPr>
        <w:t xml:space="preserve">adding contraceptives </w:t>
      </w:r>
      <w:r w:rsidR="00E144A3">
        <w:rPr>
          <w:b/>
        </w:rPr>
        <w:t>to</w:t>
      </w:r>
      <w:r w:rsidR="00E144A3" w:rsidRPr="00CD03EB">
        <w:rPr>
          <w:b/>
        </w:rPr>
        <w:t xml:space="preserve"> </w:t>
      </w:r>
      <w:r w:rsidR="00C50557" w:rsidRPr="00CD03EB">
        <w:rPr>
          <w:b/>
        </w:rPr>
        <w:t>the list of medicines covered by the Health Insurance Fund</w:t>
      </w:r>
      <w:r w:rsidR="00CD03EB">
        <w:rPr>
          <w:b/>
        </w:rPr>
        <w:t>.</w:t>
      </w:r>
      <w:proofErr w:type="gramEnd"/>
      <w:r w:rsidR="00CD03EB">
        <w:rPr>
          <w:b/>
        </w:rPr>
        <w:t xml:space="preserve"> It </w:t>
      </w:r>
      <w:r w:rsidR="00FC3B51">
        <w:rPr>
          <w:b/>
        </w:rPr>
        <w:t xml:space="preserve">also recommends that </w:t>
      </w:r>
      <w:r w:rsidR="00CD03EB">
        <w:rPr>
          <w:b/>
        </w:rPr>
        <w:t xml:space="preserve">the State party </w:t>
      </w:r>
      <w:r w:rsidR="00B26F7F">
        <w:rPr>
          <w:b/>
        </w:rPr>
        <w:t>review</w:t>
      </w:r>
      <w:r w:rsidR="00CD03EB">
        <w:rPr>
          <w:b/>
        </w:rPr>
        <w:t xml:space="preserve"> the </w:t>
      </w:r>
      <w:r w:rsidR="00CD03EB" w:rsidRPr="00CD03EB">
        <w:rPr>
          <w:b/>
        </w:rPr>
        <w:t>restrictive provisions of the Law</w:t>
      </w:r>
      <w:r w:rsidR="00CD03EB">
        <w:rPr>
          <w:b/>
        </w:rPr>
        <w:t xml:space="preserve"> on Termination of Pregnancy</w:t>
      </w:r>
      <w:r w:rsidR="00C00BD0">
        <w:rPr>
          <w:b/>
        </w:rPr>
        <w:t>.</w:t>
      </w:r>
      <w:r w:rsidR="00CD03EB">
        <w:rPr>
          <w:b/>
        </w:rPr>
        <w:t xml:space="preserve"> </w:t>
      </w:r>
      <w:r w:rsidR="00251532">
        <w:rPr>
          <w:b/>
        </w:rPr>
        <w:t>It</w:t>
      </w:r>
      <w:r w:rsidR="00FC3B51" w:rsidRPr="00A63B36">
        <w:rPr>
          <w:b/>
        </w:rPr>
        <w:t xml:space="preserve"> draws the attention of the State party to its general comment No. 22 (2016) on the right to sexual and reproductive health.</w:t>
      </w:r>
    </w:p>
    <w:p w14:paraId="6F972317" w14:textId="645542BB" w:rsidR="00AA2495" w:rsidRPr="007C209B" w:rsidRDefault="00961E99" w:rsidP="00961E99">
      <w:pPr>
        <w:pStyle w:val="H23G"/>
        <w:ind w:firstLine="0"/>
      </w:pPr>
      <w:r>
        <w:t>Drug u</w:t>
      </w:r>
      <w:r w:rsidR="005D3D0A">
        <w:t>se</w:t>
      </w:r>
    </w:p>
    <w:p w14:paraId="35D10669" w14:textId="699B2744" w:rsidR="009336D2" w:rsidRPr="00A63B36" w:rsidRDefault="00A170FC" w:rsidP="00306951">
      <w:pPr>
        <w:pStyle w:val="SingleTxtG"/>
        <w:tabs>
          <w:tab w:val="left" w:pos="1701"/>
        </w:tabs>
      </w:pPr>
      <w:proofErr w:type="gramStart"/>
      <w:r>
        <w:t>51</w:t>
      </w:r>
      <w:r w:rsidR="00306951" w:rsidRPr="00A63B36">
        <w:t>.</w:t>
      </w:r>
      <w:r w:rsidR="00306951" w:rsidRPr="00A63B36">
        <w:tab/>
      </w:r>
      <w:r w:rsidR="005D3D0A">
        <w:t xml:space="preserve">The Committee is concerned at the increase in </w:t>
      </w:r>
      <w:r w:rsidR="00A66F64">
        <w:t xml:space="preserve">the </w:t>
      </w:r>
      <w:r w:rsidR="005D3D0A">
        <w:t xml:space="preserve">number of drug users, particularly among </w:t>
      </w:r>
      <w:r w:rsidR="007241A8">
        <w:t xml:space="preserve">Roma </w:t>
      </w:r>
      <w:r w:rsidR="005D3D0A">
        <w:t>children</w:t>
      </w:r>
      <w:r w:rsidR="009336D2">
        <w:t xml:space="preserve">; at the removal of </w:t>
      </w:r>
      <w:r w:rsidR="00452BF5">
        <w:t xml:space="preserve">reference to </w:t>
      </w:r>
      <w:r w:rsidR="009336D2">
        <w:t>harm reduction programmes for drug users in the</w:t>
      </w:r>
      <w:r w:rsidR="009336D2" w:rsidRPr="009336D2">
        <w:t xml:space="preserve"> </w:t>
      </w:r>
      <w:r w:rsidR="009336D2">
        <w:t>new National Strategy on Drugs 2014-2020; at the introduction of provisions</w:t>
      </w:r>
      <w:r w:rsidR="003B41EA">
        <w:t xml:space="preserve"> in the Law on the Control of Narcotic Drugs and Psychotropic Substances</w:t>
      </w:r>
      <w:r w:rsidR="009336D2">
        <w:t xml:space="preserve"> </w:t>
      </w:r>
      <w:r w:rsidR="00AD7B8A">
        <w:t xml:space="preserve">that </w:t>
      </w:r>
      <w:r w:rsidR="009336D2">
        <w:t xml:space="preserve">regulate the medical use of cannabis </w:t>
      </w:r>
      <w:r w:rsidR="00FC3B51">
        <w:t xml:space="preserve">but also </w:t>
      </w:r>
      <w:r w:rsidR="009336D2">
        <w:t>introduce criminal sanctions for drug possession</w:t>
      </w:r>
      <w:r w:rsidR="00FC3B51">
        <w:t xml:space="preserve"> for own</w:t>
      </w:r>
      <w:r w:rsidR="00371232">
        <w:t xml:space="preserve"> </w:t>
      </w:r>
      <w:r w:rsidR="00FC3B51">
        <w:t>consumption</w:t>
      </w:r>
      <w:r w:rsidR="00452BF5">
        <w:t xml:space="preserve">; and at the lack of clarity on </w:t>
      </w:r>
      <w:r w:rsidR="006742B8">
        <w:t>the</w:t>
      </w:r>
      <w:r w:rsidR="00452BF5">
        <w:t xml:space="preserve"> </w:t>
      </w:r>
      <w:r w:rsidR="006742B8">
        <w:t>funding of the</w:t>
      </w:r>
      <w:r w:rsidR="00452BF5">
        <w:t xml:space="preserve"> program</w:t>
      </w:r>
      <w:r w:rsidR="00AD7B8A">
        <w:t>me</w:t>
      </w:r>
      <w:r w:rsidR="00452BF5">
        <w:t xml:space="preserve">s on drug prevention and harm reduction </w:t>
      </w:r>
      <w:r w:rsidR="006742B8">
        <w:t xml:space="preserve">beyond the support </w:t>
      </w:r>
      <w:r w:rsidR="00DB7BBB">
        <w:t xml:space="preserve">provided until </w:t>
      </w:r>
      <w:r w:rsidR="00452BF5">
        <w:t xml:space="preserve">the end of 2016 by the Global Fund </w:t>
      </w:r>
      <w:r w:rsidR="00AD7B8A">
        <w:t>to Fight AIDS, T</w:t>
      </w:r>
      <w:r w:rsidR="00452BF5">
        <w:t>uberculosis</w:t>
      </w:r>
      <w:r w:rsidR="00AD7B8A">
        <w:t xml:space="preserve"> and</w:t>
      </w:r>
      <w:r w:rsidR="00452BF5">
        <w:t xml:space="preserve"> </w:t>
      </w:r>
      <w:r w:rsidR="00AD7B8A">
        <w:t>M</w:t>
      </w:r>
      <w:r w:rsidR="00452BF5">
        <w:t>alaria</w:t>
      </w:r>
      <w:r w:rsidR="00452BF5" w:rsidRPr="00A63B36">
        <w:t xml:space="preserve"> </w:t>
      </w:r>
      <w:r w:rsidR="007B16E9" w:rsidRPr="00A63B36">
        <w:t>(art.</w:t>
      </w:r>
      <w:r w:rsidR="00D33D78">
        <w:t> </w:t>
      </w:r>
      <w:r w:rsidR="007B16E9" w:rsidRPr="00A63B36">
        <w:t>12).</w:t>
      </w:r>
      <w:proofErr w:type="gramEnd"/>
    </w:p>
    <w:p w14:paraId="142A21D8" w14:textId="6F6F1DA6" w:rsidR="009336D2" w:rsidRPr="00D52957" w:rsidRDefault="00A170FC" w:rsidP="00306951">
      <w:pPr>
        <w:pStyle w:val="SingleTxtG"/>
        <w:tabs>
          <w:tab w:val="left" w:pos="1701"/>
        </w:tabs>
        <w:rPr>
          <w:b/>
        </w:rPr>
      </w:pPr>
      <w:proofErr w:type="gramStart"/>
      <w:r w:rsidRPr="00D52957">
        <w:t>5</w:t>
      </w:r>
      <w:r>
        <w:t>2</w:t>
      </w:r>
      <w:r w:rsidR="00306951" w:rsidRPr="00D52957">
        <w:t>.</w:t>
      </w:r>
      <w:r w:rsidR="00306951" w:rsidRPr="00D52957">
        <w:tab/>
      </w:r>
      <w:r w:rsidR="009336D2" w:rsidRPr="00A63B36">
        <w:rPr>
          <w:b/>
        </w:rPr>
        <w:t xml:space="preserve">The Committee recommends that the State party take effective measures to reduce drug </w:t>
      </w:r>
      <w:r w:rsidR="00452BF5" w:rsidRPr="00A63B36">
        <w:rPr>
          <w:b/>
        </w:rPr>
        <w:t>ab</w:t>
      </w:r>
      <w:r w:rsidR="009336D2" w:rsidRPr="00A63B36">
        <w:rPr>
          <w:b/>
        </w:rPr>
        <w:t xml:space="preserve">use; to </w:t>
      </w:r>
      <w:r w:rsidR="00FC3B51">
        <w:rPr>
          <w:b/>
        </w:rPr>
        <w:t xml:space="preserve">reinstate </w:t>
      </w:r>
      <w:r w:rsidR="009336D2" w:rsidRPr="00A63B36">
        <w:rPr>
          <w:b/>
        </w:rPr>
        <w:t>harm reduction programmes in the National Strategy on Drugs 2014-2020</w:t>
      </w:r>
      <w:r w:rsidR="00FC103E" w:rsidRPr="00A63B36">
        <w:rPr>
          <w:b/>
        </w:rPr>
        <w:t>;</w:t>
      </w:r>
      <w:r w:rsidR="009336D2" w:rsidRPr="00A63B36">
        <w:rPr>
          <w:b/>
        </w:rPr>
        <w:t xml:space="preserve"> </w:t>
      </w:r>
      <w:r w:rsidR="005136F5" w:rsidRPr="00A63B36">
        <w:rPr>
          <w:b/>
        </w:rPr>
        <w:t>provide sufficient support</w:t>
      </w:r>
      <w:r w:rsidR="009336D2" w:rsidRPr="00A63B36">
        <w:rPr>
          <w:b/>
        </w:rPr>
        <w:t xml:space="preserve"> for the implementation of the </w:t>
      </w:r>
      <w:r w:rsidR="00AD7B8A">
        <w:rPr>
          <w:b/>
        </w:rPr>
        <w:t>s</w:t>
      </w:r>
      <w:r w:rsidR="009336D2" w:rsidRPr="00A63B36">
        <w:rPr>
          <w:b/>
        </w:rPr>
        <w:t>trategy</w:t>
      </w:r>
      <w:r w:rsidR="00452BF5" w:rsidRPr="00A63B36">
        <w:rPr>
          <w:b/>
        </w:rPr>
        <w:t xml:space="preserve"> and to ensure the maintenance </w:t>
      </w:r>
      <w:r w:rsidR="00452BF5">
        <w:rPr>
          <w:b/>
        </w:rPr>
        <w:t>of the program</w:t>
      </w:r>
      <w:r w:rsidR="00AD7B8A">
        <w:rPr>
          <w:b/>
        </w:rPr>
        <w:t>me</w:t>
      </w:r>
      <w:r w:rsidR="00452BF5">
        <w:rPr>
          <w:b/>
        </w:rPr>
        <w:t>s funded by the Global Fund</w:t>
      </w:r>
      <w:r w:rsidR="00371232">
        <w:rPr>
          <w:b/>
        </w:rPr>
        <w:t xml:space="preserve"> </w:t>
      </w:r>
      <w:r w:rsidR="00371232" w:rsidRPr="00E85591">
        <w:rPr>
          <w:b/>
        </w:rPr>
        <w:t>to Fight AIDS, Tuberculosis and Malaria</w:t>
      </w:r>
      <w:r w:rsidR="009336D2" w:rsidRPr="00D52957">
        <w:rPr>
          <w:b/>
        </w:rPr>
        <w:t xml:space="preserve">; and </w:t>
      </w:r>
      <w:r w:rsidR="00283D5E">
        <w:rPr>
          <w:b/>
        </w:rPr>
        <w:t>review the</w:t>
      </w:r>
      <w:r w:rsidR="009336D2" w:rsidRPr="00D52957">
        <w:rPr>
          <w:b/>
        </w:rPr>
        <w:t xml:space="preserve"> restrictive provisions introduced </w:t>
      </w:r>
      <w:r w:rsidR="00283D5E">
        <w:rPr>
          <w:b/>
        </w:rPr>
        <w:t xml:space="preserve">in </w:t>
      </w:r>
      <w:r w:rsidR="00283D5E" w:rsidRPr="00283D5E">
        <w:rPr>
          <w:b/>
        </w:rPr>
        <w:t xml:space="preserve">the </w:t>
      </w:r>
      <w:r w:rsidR="00283D5E" w:rsidRPr="00372864">
        <w:rPr>
          <w:b/>
        </w:rPr>
        <w:t>Law on the Control of Narcotic Drugs and Psychotropic Substances</w:t>
      </w:r>
      <w:r w:rsidR="009336D2" w:rsidRPr="00283D5E">
        <w:rPr>
          <w:b/>
        </w:rPr>
        <w:t>.</w:t>
      </w:r>
      <w:proofErr w:type="gramEnd"/>
    </w:p>
    <w:p w14:paraId="189318DE" w14:textId="3F7EB9ED" w:rsidR="009D3B03" w:rsidRPr="007C209B" w:rsidRDefault="00B07E37" w:rsidP="002E4E24">
      <w:pPr>
        <w:pStyle w:val="H23G"/>
        <w:ind w:firstLine="0"/>
      </w:pPr>
      <w:r w:rsidRPr="007C209B">
        <w:t>Right to education</w:t>
      </w:r>
    </w:p>
    <w:p w14:paraId="58081400" w14:textId="70D1E20C" w:rsidR="002E10B3" w:rsidRPr="002E10B3" w:rsidRDefault="00A170FC" w:rsidP="00306951">
      <w:pPr>
        <w:pStyle w:val="SingleTxtG"/>
        <w:tabs>
          <w:tab w:val="left" w:pos="1701"/>
        </w:tabs>
      </w:pPr>
      <w:r w:rsidRPr="002E10B3">
        <w:t>5</w:t>
      </w:r>
      <w:r>
        <w:t>3</w:t>
      </w:r>
      <w:r w:rsidR="00306951" w:rsidRPr="002E10B3">
        <w:t>.</w:t>
      </w:r>
      <w:r w:rsidR="00306951" w:rsidRPr="002E10B3">
        <w:tab/>
      </w:r>
      <w:r w:rsidR="00BA6B8A">
        <w:t xml:space="preserve">While taking note of the efforts of the State party in this area, the </w:t>
      </w:r>
      <w:r w:rsidR="009336D2">
        <w:t xml:space="preserve">Committee is concerned </w:t>
      </w:r>
      <w:r w:rsidR="002B75EE">
        <w:t xml:space="preserve">that </w:t>
      </w:r>
      <w:r w:rsidR="00581CC9">
        <w:t>school enrolment and retention rates</w:t>
      </w:r>
      <w:r w:rsidR="00226825">
        <w:t xml:space="preserve"> have decreased, particularly for Roma children, </w:t>
      </w:r>
      <w:r w:rsidR="00F71E41">
        <w:t>among whom</w:t>
      </w:r>
      <w:r w:rsidR="002E10B3">
        <w:t xml:space="preserve"> the level of academic performance</w:t>
      </w:r>
      <w:r w:rsidR="00581CC9">
        <w:t xml:space="preserve"> </w:t>
      </w:r>
      <w:r w:rsidR="002B75EE">
        <w:t>remains disproportionately</w:t>
      </w:r>
      <w:r w:rsidR="00FC3B51">
        <w:t xml:space="preserve"> low</w:t>
      </w:r>
      <w:r w:rsidR="00961E99">
        <w:t xml:space="preserve"> at </w:t>
      </w:r>
      <w:r w:rsidR="00B50320">
        <w:t>both</w:t>
      </w:r>
      <w:r w:rsidR="00961E99">
        <w:t xml:space="preserve"> primary and secondary levels</w:t>
      </w:r>
      <w:r w:rsidR="00581CC9">
        <w:t xml:space="preserve">. It is also concerned </w:t>
      </w:r>
      <w:r w:rsidR="002B75EE" w:rsidRPr="0075660D">
        <w:t xml:space="preserve">that </w:t>
      </w:r>
      <w:r w:rsidR="00E52030" w:rsidRPr="0075660D">
        <w:t xml:space="preserve">a </w:t>
      </w:r>
      <w:r w:rsidR="009336D2" w:rsidRPr="0075660D">
        <w:t>dis</w:t>
      </w:r>
      <w:r w:rsidR="009336D2" w:rsidRPr="002E10B3">
        <w:t xml:space="preserve">proportionately high number of Roma children </w:t>
      </w:r>
      <w:r w:rsidR="002B75EE" w:rsidRPr="002E10B3">
        <w:t xml:space="preserve">continue to </w:t>
      </w:r>
      <w:proofErr w:type="gramStart"/>
      <w:r w:rsidR="002B75EE" w:rsidRPr="002E10B3">
        <w:t xml:space="preserve">be </w:t>
      </w:r>
      <w:r w:rsidR="00371232">
        <w:t>classified</w:t>
      </w:r>
      <w:proofErr w:type="gramEnd"/>
      <w:r w:rsidR="00371232" w:rsidRPr="002E10B3">
        <w:t xml:space="preserve"> </w:t>
      </w:r>
      <w:r w:rsidR="009336D2" w:rsidRPr="002E10B3">
        <w:t>as persons with psychological disabilities</w:t>
      </w:r>
      <w:r w:rsidR="00581CC9" w:rsidRPr="002E10B3">
        <w:t xml:space="preserve"> and, </w:t>
      </w:r>
      <w:r w:rsidR="00961E99" w:rsidRPr="002E10B3">
        <w:t>consequently</w:t>
      </w:r>
      <w:r w:rsidR="00581CC9" w:rsidRPr="002E10B3">
        <w:t xml:space="preserve">, </w:t>
      </w:r>
      <w:r w:rsidR="002B75EE" w:rsidRPr="002E10B3">
        <w:t>are overrepresented</w:t>
      </w:r>
      <w:r w:rsidR="009336D2" w:rsidRPr="002E10B3">
        <w:t xml:space="preserve"> in special schools and special classes in mainstream schools</w:t>
      </w:r>
      <w:r w:rsidR="007B16E9">
        <w:t xml:space="preserve"> (arts.</w:t>
      </w:r>
      <w:r w:rsidR="00D33D78">
        <w:t> </w:t>
      </w:r>
      <w:r w:rsidR="007B16E9">
        <w:t>13 and</w:t>
      </w:r>
      <w:r w:rsidR="00D33D78">
        <w:t> </w:t>
      </w:r>
      <w:r w:rsidR="007B16E9">
        <w:t>14).</w:t>
      </w:r>
    </w:p>
    <w:p w14:paraId="2552FAE5" w14:textId="3B21EFB5" w:rsidR="00AA2495" w:rsidRPr="00F96B49" w:rsidRDefault="00A170FC" w:rsidP="00306951">
      <w:pPr>
        <w:pStyle w:val="SingleTxtG"/>
        <w:tabs>
          <w:tab w:val="left" w:pos="1701"/>
        </w:tabs>
      </w:pPr>
      <w:r w:rsidRPr="00F96B49">
        <w:t>5</w:t>
      </w:r>
      <w:r>
        <w:t>4</w:t>
      </w:r>
      <w:r w:rsidR="00306951" w:rsidRPr="00F96B49">
        <w:t>.</w:t>
      </w:r>
      <w:r w:rsidR="00306951" w:rsidRPr="00F96B49">
        <w:tab/>
      </w:r>
      <w:r w:rsidR="00BA6B8A">
        <w:rPr>
          <w:b/>
        </w:rPr>
        <w:t>T</w:t>
      </w:r>
      <w:r w:rsidR="00BA6B8A" w:rsidRPr="003D59CC">
        <w:rPr>
          <w:b/>
        </w:rPr>
        <w:t xml:space="preserve">he </w:t>
      </w:r>
      <w:r w:rsidR="00581CC9" w:rsidRPr="003D59CC">
        <w:rPr>
          <w:b/>
        </w:rPr>
        <w:t xml:space="preserve">Committee recommends that the State party intensify its efforts to improve school enrolment and retention rates of Roma children and their academic </w:t>
      </w:r>
      <w:r w:rsidR="00B50320">
        <w:rPr>
          <w:b/>
        </w:rPr>
        <w:t>performance</w:t>
      </w:r>
      <w:r w:rsidR="00581CC9" w:rsidRPr="003D59CC">
        <w:rPr>
          <w:b/>
        </w:rPr>
        <w:t xml:space="preserve">, including </w:t>
      </w:r>
      <w:r w:rsidR="00AD7B8A">
        <w:rPr>
          <w:b/>
        </w:rPr>
        <w:t>by</w:t>
      </w:r>
      <w:r w:rsidR="00AD7B8A" w:rsidRPr="003D59CC">
        <w:rPr>
          <w:b/>
        </w:rPr>
        <w:t xml:space="preserve"> </w:t>
      </w:r>
      <w:r w:rsidR="002E10B3" w:rsidRPr="003D59CC">
        <w:rPr>
          <w:b/>
        </w:rPr>
        <w:t xml:space="preserve">providing mentoring and tutoring services and other special </w:t>
      </w:r>
      <w:r w:rsidR="002E10B3" w:rsidRPr="00A63B36">
        <w:rPr>
          <w:b/>
        </w:rPr>
        <w:t xml:space="preserve">assistance </w:t>
      </w:r>
      <w:r w:rsidR="00E52030" w:rsidRPr="00A63B36">
        <w:rPr>
          <w:b/>
        </w:rPr>
        <w:t xml:space="preserve">measures </w:t>
      </w:r>
      <w:r w:rsidR="00505135" w:rsidRPr="00A63B36">
        <w:rPr>
          <w:b/>
        </w:rPr>
        <w:t>for</w:t>
      </w:r>
      <w:r w:rsidR="002E10B3" w:rsidRPr="00A63B36">
        <w:rPr>
          <w:b/>
        </w:rPr>
        <w:t xml:space="preserve"> </w:t>
      </w:r>
      <w:r w:rsidR="00581CC9" w:rsidRPr="00A63B36">
        <w:rPr>
          <w:b/>
        </w:rPr>
        <w:t xml:space="preserve">Roma </w:t>
      </w:r>
      <w:r w:rsidR="002E10B3" w:rsidRPr="00A63B36">
        <w:rPr>
          <w:b/>
        </w:rPr>
        <w:t>children</w:t>
      </w:r>
      <w:r w:rsidR="002E10B3" w:rsidRPr="003D59CC">
        <w:rPr>
          <w:b/>
        </w:rPr>
        <w:t xml:space="preserve">. It also recommends that the State party take all measures necessary to address the overrepresentation of Roma children in special schools and special classes in mainstream schools, including </w:t>
      </w:r>
      <w:r w:rsidR="00AD7B8A">
        <w:rPr>
          <w:b/>
        </w:rPr>
        <w:t>a</w:t>
      </w:r>
      <w:r w:rsidR="00AD7B8A" w:rsidRPr="003D59CC">
        <w:rPr>
          <w:b/>
        </w:rPr>
        <w:t xml:space="preserve"> </w:t>
      </w:r>
      <w:r w:rsidR="002E10B3" w:rsidRPr="003D59CC">
        <w:rPr>
          <w:b/>
        </w:rPr>
        <w:t xml:space="preserve">review of the </w:t>
      </w:r>
      <w:r w:rsidR="00371232">
        <w:rPr>
          <w:b/>
        </w:rPr>
        <w:t>classification</w:t>
      </w:r>
      <w:r w:rsidR="00371232" w:rsidRPr="003D59CC">
        <w:rPr>
          <w:b/>
        </w:rPr>
        <w:t xml:space="preserve"> </w:t>
      </w:r>
      <w:r w:rsidR="002E10B3" w:rsidRPr="003D59CC">
        <w:rPr>
          <w:b/>
        </w:rPr>
        <w:t xml:space="preserve">criteria and the adoption of inclusive and </w:t>
      </w:r>
      <w:r w:rsidR="003D59CC" w:rsidRPr="003D59CC">
        <w:rPr>
          <w:b/>
        </w:rPr>
        <w:t>integrated education programmes</w:t>
      </w:r>
      <w:r w:rsidR="003D59CC">
        <w:rPr>
          <w:b/>
        </w:rPr>
        <w:t>.</w:t>
      </w:r>
    </w:p>
    <w:p w14:paraId="7B6FD9F6" w14:textId="77777777" w:rsidR="00C82F62" w:rsidRPr="007949E7" w:rsidRDefault="00C82F62" w:rsidP="00C82F62">
      <w:pPr>
        <w:pStyle w:val="H1G"/>
      </w:pPr>
      <w:r w:rsidRPr="007949E7">
        <w:tab/>
        <w:t>D.</w:t>
      </w:r>
      <w:r w:rsidRPr="007949E7">
        <w:tab/>
        <w:t>Other recommendations</w:t>
      </w:r>
    </w:p>
    <w:p w14:paraId="2A2BCA1C" w14:textId="1FF5C1F5" w:rsidR="009C1131" w:rsidRDefault="00A170FC" w:rsidP="00306951">
      <w:pPr>
        <w:pStyle w:val="SingleTxtG"/>
        <w:tabs>
          <w:tab w:val="left" w:pos="1701"/>
        </w:tabs>
        <w:rPr>
          <w:b/>
        </w:rPr>
      </w:pPr>
      <w:r>
        <w:t>55</w:t>
      </w:r>
      <w:r w:rsidR="00306951">
        <w:t>.</w:t>
      </w:r>
      <w:r w:rsidR="00306951">
        <w:tab/>
      </w:r>
      <w:r w:rsidR="00A1134B" w:rsidRPr="00B07E37">
        <w:rPr>
          <w:b/>
        </w:rPr>
        <w:t>The Committee encourages the State party to ratify the Optional Protocol to the International Covenant on Economic, Social and Cultural Rights</w:t>
      </w:r>
      <w:r w:rsidR="009C1131">
        <w:rPr>
          <w:b/>
        </w:rPr>
        <w:t>.</w:t>
      </w:r>
    </w:p>
    <w:p w14:paraId="0D09AA1B" w14:textId="5837ABBE" w:rsidR="00A1134B" w:rsidRDefault="00A170FC" w:rsidP="00306951">
      <w:pPr>
        <w:pStyle w:val="SingleTxtG"/>
        <w:tabs>
          <w:tab w:val="left" w:pos="1701"/>
        </w:tabs>
        <w:rPr>
          <w:b/>
        </w:rPr>
      </w:pPr>
      <w:r>
        <w:t>56</w:t>
      </w:r>
      <w:r w:rsidR="00306951">
        <w:t>.</w:t>
      </w:r>
      <w:r w:rsidR="00306951">
        <w:tab/>
      </w:r>
      <w:r w:rsidR="009C1131">
        <w:rPr>
          <w:rFonts w:hint="eastAsia"/>
          <w:b/>
          <w:lang w:eastAsia="ko-KR"/>
        </w:rPr>
        <w:t>The Committee encourages the State party to consider ratifying</w:t>
      </w:r>
      <w:r w:rsidR="00AF3AD2">
        <w:rPr>
          <w:b/>
        </w:rPr>
        <w:t xml:space="preserve"> the International Convention on the</w:t>
      </w:r>
      <w:r w:rsidR="002470B4">
        <w:rPr>
          <w:b/>
        </w:rPr>
        <w:t xml:space="preserve"> Protection of the Rights of All Migrant Workers and Members of </w:t>
      </w:r>
      <w:r w:rsidR="00213B75">
        <w:rPr>
          <w:b/>
        </w:rPr>
        <w:t>T</w:t>
      </w:r>
      <w:r w:rsidR="002470B4">
        <w:rPr>
          <w:b/>
        </w:rPr>
        <w:t>heir Families</w:t>
      </w:r>
      <w:r w:rsidR="0088069C">
        <w:rPr>
          <w:b/>
        </w:rPr>
        <w:t xml:space="preserve"> and the </w:t>
      </w:r>
      <w:r w:rsidR="0088069C" w:rsidRPr="0088069C">
        <w:rPr>
          <w:b/>
        </w:rPr>
        <w:t>International Convention for the Protection of All Persons from Enforced Disappearance</w:t>
      </w:r>
      <w:r w:rsidR="00A1134B" w:rsidRPr="00B07E37">
        <w:rPr>
          <w:b/>
        </w:rPr>
        <w:t>.</w:t>
      </w:r>
    </w:p>
    <w:p w14:paraId="23268D9B" w14:textId="74C0E115" w:rsidR="00A1134B" w:rsidRDefault="00A170FC" w:rsidP="00306951">
      <w:pPr>
        <w:pStyle w:val="SingleTxtG"/>
        <w:tabs>
          <w:tab w:val="left" w:pos="1701"/>
        </w:tabs>
        <w:rPr>
          <w:b/>
        </w:rPr>
      </w:pPr>
      <w:r>
        <w:t>57</w:t>
      </w:r>
      <w:r w:rsidR="00306951">
        <w:t>.</w:t>
      </w:r>
      <w:r w:rsidR="00306951">
        <w:tab/>
      </w:r>
      <w:r w:rsidR="00A1134B" w:rsidRPr="00B07E37">
        <w:rPr>
          <w:b/>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w:t>
      </w:r>
      <w:r w:rsidR="00547B87">
        <w:rPr>
          <w:b/>
        </w:rPr>
        <w:t>complying with</w:t>
      </w:r>
      <w:r w:rsidR="00A1134B" w:rsidRPr="00B07E37">
        <w:rPr>
          <w:b/>
        </w:rPr>
        <w:t xml:space="preserve"> its obligations under the Covenant for various segments of the population. In this context, the Committee refers the State party </w:t>
      </w:r>
      <w:proofErr w:type="gramStart"/>
      <w:r w:rsidR="00A1134B" w:rsidRPr="00B07E37">
        <w:rPr>
          <w:b/>
        </w:rPr>
        <w:t>to,</w:t>
      </w:r>
      <w:proofErr w:type="gramEnd"/>
      <w:r w:rsidR="00A1134B" w:rsidRPr="00B07E37">
        <w:rPr>
          <w:b/>
        </w:rPr>
        <w:t xml:space="preserve"> inter alia, the conceptual and methodological framework on human rights indicators developed by the Office of the United Nations High Commissioner on Human Rights (HRI/MC/2008/3).</w:t>
      </w:r>
    </w:p>
    <w:p w14:paraId="5962C0BE" w14:textId="3ED9ECA2" w:rsidR="00D16AA0" w:rsidRDefault="00A170FC" w:rsidP="00306951">
      <w:pPr>
        <w:pStyle w:val="SingleTxtG"/>
        <w:tabs>
          <w:tab w:val="left" w:pos="1701"/>
        </w:tabs>
        <w:rPr>
          <w:b/>
        </w:rPr>
      </w:pPr>
      <w:r>
        <w:t>58</w:t>
      </w:r>
      <w:r w:rsidR="00306951">
        <w:t>.</w:t>
      </w:r>
      <w:r w:rsidR="00306951">
        <w:tab/>
      </w:r>
      <w:r w:rsidR="00FC103E">
        <w:rPr>
          <w:b/>
        </w:rPr>
        <w:t>The Committee</w:t>
      </w:r>
      <w:r w:rsidR="00D16AA0">
        <w:rPr>
          <w:b/>
        </w:rPr>
        <w:t xml:space="preserve"> requests the State party to include in its next periodic report comparative annual statistics on the realization of each of the rights enshrined in the Covenant, disaggregated by age, sex, ethnic origin, urban and rural population and other relevant criteria</w:t>
      </w:r>
      <w:r w:rsidR="003372AF">
        <w:rPr>
          <w:b/>
        </w:rPr>
        <w:t>. It also requests</w:t>
      </w:r>
      <w:r w:rsidR="0025549D">
        <w:rPr>
          <w:b/>
        </w:rPr>
        <w:t xml:space="preserve"> </w:t>
      </w:r>
      <w:r w:rsidR="0025549D" w:rsidRPr="0025639B">
        <w:rPr>
          <w:b/>
        </w:rPr>
        <w:t xml:space="preserve">detailed information on the </w:t>
      </w:r>
      <w:r w:rsidR="0099218E">
        <w:rPr>
          <w:b/>
        </w:rPr>
        <w:t xml:space="preserve">evolution of the </w:t>
      </w:r>
      <w:r w:rsidR="003372AF">
        <w:rPr>
          <w:b/>
        </w:rPr>
        <w:t xml:space="preserve">State </w:t>
      </w:r>
      <w:r w:rsidR="001B5FD7">
        <w:rPr>
          <w:b/>
        </w:rPr>
        <w:t xml:space="preserve">party’s </w:t>
      </w:r>
      <w:r w:rsidR="0025549D" w:rsidRPr="0025639B">
        <w:rPr>
          <w:b/>
        </w:rPr>
        <w:t>revenues</w:t>
      </w:r>
      <w:r w:rsidR="00213B75">
        <w:rPr>
          <w:b/>
        </w:rPr>
        <w:t>,</w:t>
      </w:r>
      <w:r w:rsidR="0025549D" w:rsidRPr="0025639B">
        <w:rPr>
          <w:b/>
        </w:rPr>
        <w:t xml:space="preserve"> disaggregated by source</w:t>
      </w:r>
      <w:r w:rsidR="00213B75">
        <w:rPr>
          <w:b/>
        </w:rPr>
        <w:t>,</w:t>
      </w:r>
      <w:r w:rsidR="00356D3C">
        <w:rPr>
          <w:b/>
        </w:rPr>
        <w:t xml:space="preserve"> and</w:t>
      </w:r>
      <w:r w:rsidR="0025549D" w:rsidRPr="0025639B">
        <w:rPr>
          <w:b/>
        </w:rPr>
        <w:t xml:space="preserve"> </w:t>
      </w:r>
      <w:r w:rsidR="0099218E">
        <w:rPr>
          <w:b/>
        </w:rPr>
        <w:t>of</w:t>
      </w:r>
      <w:r w:rsidR="0025549D">
        <w:rPr>
          <w:b/>
        </w:rPr>
        <w:t xml:space="preserve"> </w:t>
      </w:r>
      <w:r w:rsidR="003372AF">
        <w:rPr>
          <w:b/>
        </w:rPr>
        <w:t>the budgets</w:t>
      </w:r>
      <w:r w:rsidR="0025549D" w:rsidRPr="0025639B">
        <w:rPr>
          <w:b/>
        </w:rPr>
        <w:t xml:space="preserve"> </w:t>
      </w:r>
      <w:r w:rsidR="00356D3C">
        <w:rPr>
          <w:b/>
        </w:rPr>
        <w:t xml:space="preserve">allocated </w:t>
      </w:r>
      <w:r w:rsidR="0025549D" w:rsidRPr="0025639B">
        <w:rPr>
          <w:b/>
        </w:rPr>
        <w:t>in the areas relating to the Covenant rights.</w:t>
      </w:r>
    </w:p>
    <w:p w14:paraId="19133553" w14:textId="75C80192" w:rsidR="00A1134B" w:rsidRPr="00B07E37" w:rsidRDefault="00A170FC" w:rsidP="003304C0">
      <w:pPr>
        <w:pStyle w:val="SingleTxtG"/>
        <w:tabs>
          <w:tab w:val="left" w:pos="1701"/>
        </w:tabs>
        <w:rPr>
          <w:b/>
        </w:rPr>
      </w:pPr>
      <w:r w:rsidRPr="00B07E37">
        <w:t>5</w:t>
      </w:r>
      <w:r>
        <w:t>9</w:t>
      </w:r>
      <w:r w:rsidR="00306951" w:rsidRPr="00B07E37">
        <w:t>.</w:t>
      </w:r>
      <w:r w:rsidR="00306951" w:rsidRPr="00B07E37">
        <w:tab/>
      </w:r>
      <w:r w:rsidR="00A1134B" w:rsidRPr="00B07E37">
        <w:rPr>
          <w:b/>
        </w:rPr>
        <w:t>The Committee requests the State party to disseminate the present concluding observations widely among all levels of society</w:t>
      </w:r>
      <w:r w:rsidRPr="00A170FC">
        <w:rPr>
          <w:b/>
          <w:bCs/>
          <w:color w:val="000000"/>
          <w:lang w:eastAsia="ko-KR"/>
        </w:rPr>
        <w:t xml:space="preserve"> </w:t>
      </w:r>
      <w:r>
        <w:rPr>
          <w:b/>
          <w:bCs/>
          <w:color w:val="000000"/>
          <w:lang w:eastAsia="ko-KR"/>
        </w:rPr>
        <w:t>at national, municipal and territorial levels</w:t>
      </w:r>
      <w:r w:rsidR="00A1134B" w:rsidRPr="00B07E37">
        <w:rPr>
          <w:b/>
        </w:rPr>
        <w:t xml:space="preserve">, particularly among </w:t>
      </w:r>
      <w:r>
        <w:rPr>
          <w:b/>
        </w:rPr>
        <w:t>p</w:t>
      </w:r>
      <w:r w:rsidRPr="00B07E37">
        <w:rPr>
          <w:b/>
        </w:rPr>
        <w:t>arliament</w:t>
      </w:r>
      <w:r>
        <w:rPr>
          <w:b/>
        </w:rPr>
        <w:t>arians</w:t>
      </w:r>
      <w:r w:rsidR="00A1134B" w:rsidRPr="00B07E37">
        <w:rPr>
          <w:b/>
        </w:rPr>
        <w:t xml:space="preserve">, public officials and judicial authorities, and </w:t>
      </w:r>
      <w:r w:rsidR="003304C0">
        <w:rPr>
          <w:b/>
        </w:rPr>
        <w:t>to</w:t>
      </w:r>
      <w:r w:rsidR="00A1134B" w:rsidRPr="00B07E37">
        <w:rPr>
          <w:b/>
        </w:rPr>
        <w:t xml:space="preserve"> inform the Committee</w:t>
      </w:r>
      <w:r w:rsidR="003304C0">
        <w:rPr>
          <w:b/>
        </w:rPr>
        <w:t>,</w:t>
      </w:r>
      <w:r w:rsidR="00A1134B" w:rsidRPr="00B07E37">
        <w:rPr>
          <w:b/>
        </w:rPr>
        <w:t xml:space="preserve"> in its next periodic report</w:t>
      </w:r>
      <w:r w:rsidR="003304C0">
        <w:rPr>
          <w:b/>
        </w:rPr>
        <w:t>,</w:t>
      </w:r>
      <w:r w:rsidR="00A1134B" w:rsidRPr="00B07E37">
        <w:rPr>
          <w:b/>
        </w:rPr>
        <w:t xml:space="preserve"> about the steps taken to implement the recommendations contained herein. </w:t>
      </w:r>
      <w:r>
        <w:rPr>
          <w:b/>
        </w:rPr>
        <w:t>The Committee</w:t>
      </w:r>
      <w:r w:rsidR="00A1134B" w:rsidRPr="00B07E37">
        <w:rPr>
          <w:b/>
        </w:rPr>
        <w:t xml:space="preserve"> also encourages the State party to engage non-governmental organizations and </w:t>
      </w:r>
      <w:r>
        <w:rPr>
          <w:b/>
        </w:rPr>
        <w:t>other members of</w:t>
      </w:r>
      <w:r w:rsidR="00A1134B" w:rsidRPr="00B07E37">
        <w:rPr>
          <w:b/>
        </w:rPr>
        <w:t xml:space="preserve"> civil society </w:t>
      </w:r>
      <w:r w:rsidR="007E6473">
        <w:rPr>
          <w:b/>
        </w:rPr>
        <w:t>in the follow</w:t>
      </w:r>
      <w:r w:rsidR="00213B75">
        <w:rPr>
          <w:b/>
        </w:rPr>
        <w:t>-</w:t>
      </w:r>
      <w:r w:rsidR="007E6473">
        <w:rPr>
          <w:b/>
        </w:rPr>
        <w:t xml:space="preserve">up to the present concluding observations and </w:t>
      </w:r>
      <w:r w:rsidR="00A1134B" w:rsidRPr="00B07E37">
        <w:rPr>
          <w:b/>
        </w:rPr>
        <w:t xml:space="preserve">in the </w:t>
      </w:r>
      <w:r>
        <w:rPr>
          <w:b/>
        </w:rPr>
        <w:t xml:space="preserve">process of consultation at the national level prior to the submission </w:t>
      </w:r>
      <w:r w:rsidR="00A1134B" w:rsidRPr="00B07E37">
        <w:rPr>
          <w:b/>
        </w:rPr>
        <w:t>of its next periodic report.</w:t>
      </w:r>
    </w:p>
    <w:p w14:paraId="7F3C39D4" w14:textId="4A024C40" w:rsidR="00A170FC" w:rsidRPr="00B07E37" w:rsidRDefault="00A170FC" w:rsidP="00A170FC">
      <w:pPr>
        <w:pStyle w:val="SingleTxtG"/>
        <w:tabs>
          <w:tab w:val="left" w:pos="1701"/>
        </w:tabs>
        <w:rPr>
          <w:b/>
        </w:rPr>
      </w:pPr>
      <w:r>
        <w:t>60</w:t>
      </w:r>
      <w:r w:rsidR="00306951" w:rsidRPr="00B07E37">
        <w:t>.</w:t>
      </w:r>
      <w:r w:rsidR="00306951" w:rsidRPr="00B07E37">
        <w:tab/>
      </w:r>
      <w:r w:rsidR="00A1134B" w:rsidRPr="00B07E37">
        <w:rPr>
          <w:b/>
        </w:rPr>
        <w:t xml:space="preserve">The Committee requests the State party to submit its </w:t>
      </w:r>
      <w:r w:rsidR="00096EB9" w:rsidRPr="00B07E37">
        <w:rPr>
          <w:b/>
        </w:rPr>
        <w:t>fif</w:t>
      </w:r>
      <w:r w:rsidR="00A1134B" w:rsidRPr="00B07E37">
        <w:rPr>
          <w:b/>
        </w:rPr>
        <w:t>th periodic report, to be prepared in accordance with the reporting guidelines adopted by the Committee in 2008 (E/C.12/2008/2),</w:t>
      </w:r>
      <w:r w:rsidR="00D16AA0">
        <w:rPr>
          <w:b/>
        </w:rPr>
        <w:t xml:space="preserve"> by 30 June 2021. </w:t>
      </w:r>
      <w:r w:rsidR="00A1134B" w:rsidRPr="00B07E37">
        <w:rPr>
          <w:b/>
        </w:rPr>
        <w:t>The Committee also invites the State party to update its common core document in accordance with the harmonized guidelines on</w:t>
      </w:r>
      <w:r w:rsidR="00D33D78">
        <w:rPr>
          <w:b/>
        </w:rPr>
        <w:t> </w:t>
      </w:r>
      <w:r w:rsidR="00A1134B" w:rsidRPr="00B07E37">
        <w:rPr>
          <w:b/>
        </w:rPr>
        <w:t>reporting under the international human rights treaties (see HRI/GEN/2/Rev.6, chap.</w:t>
      </w:r>
      <w:r w:rsidR="00D33D78">
        <w:rPr>
          <w:b/>
        </w:rPr>
        <w:t> </w:t>
      </w:r>
      <w:r w:rsidR="00A1134B" w:rsidRPr="00B07E37">
        <w:rPr>
          <w:b/>
        </w:rPr>
        <w:t>I).</w:t>
      </w:r>
    </w:p>
    <w:p w14:paraId="2D59CCDD" w14:textId="77777777" w:rsidR="00C82F62" w:rsidRPr="00087903" w:rsidRDefault="00087903" w:rsidP="00087903">
      <w:pPr>
        <w:pStyle w:val="SingleTxtG"/>
        <w:tabs>
          <w:tab w:val="left" w:pos="1701"/>
        </w:tabs>
        <w:spacing w:before="240" w:after="0"/>
        <w:jc w:val="center"/>
        <w:rPr>
          <w:b/>
          <w:u w:val="single"/>
        </w:rPr>
      </w:pPr>
      <w:r>
        <w:rPr>
          <w:u w:val="single"/>
        </w:rPr>
        <w:tab/>
      </w:r>
      <w:r>
        <w:rPr>
          <w:u w:val="single"/>
        </w:rPr>
        <w:tab/>
      </w:r>
      <w:r>
        <w:rPr>
          <w:u w:val="single"/>
        </w:rPr>
        <w:tab/>
      </w:r>
    </w:p>
    <w:sectPr w:rsidR="00C82F62" w:rsidRPr="00087903" w:rsidSect="008D7E9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EAD81" w14:textId="77777777" w:rsidR="00C27511" w:rsidRDefault="00C27511"/>
  </w:endnote>
  <w:endnote w:type="continuationSeparator" w:id="0">
    <w:p w14:paraId="7E82F6C3" w14:textId="77777777" w:rsidR="00C27511" w:rsidRDefault="00C27511"/>
  </w:endnote>
  <w:endnote w:type="continuationNotice" w:id="1">
    <w:p w14:paraId="4C40D342" w14:textId="77777777" w:rsidR="00C27511" w:rsidRDefault="00C27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F702F" w14:textId="2B78793C" w:rsidR="008F0182" w:rsidRPr="008D7E94" w:rsidRDefault="008F0182" w:rsidP="007949E7">
    <w:pPr>
      <w:pStyle w:val="Footer"/>
      <w:tabs>
        <w:tab w:val="right" w:pos="9598"/>
        <w:tab w:val="right" w:pos="9638"/>
      </w:tabs>
      <w:rPr>
        <w:b/>
        <w:sz w:val="18"/>
      </w:rPr>
    </w:pPr>
    <w:r w:rsidRPr="00D46DDC">
      <w:rPr>
        <w:b/>
        <w:sz w:val="18"/>
      </w:rPr>
      <w:fldChar w:fldCharType="begin"/>
    </w:r>
    <w:r w:rsidRPr="00D46DDC">
      <w:rPr>
        <w:b/>
        <w:sz w:val="18"/>
      </w:rPr>
      <w:instrText xml:space="preserve"> PAGE  \* MERGEFORMAT </w:instrText>
    </w:r>
    <w:r w:rsidRPr="00D46DDC">
      <w:rPr>
        <w:b/>
        <w:sz w:val="18"/>
      </w:rPr>
      <w:fldChar w:fldCharType="separate"/>
    </w:r>
    <w:r w:rsidR="00A242DE">
      <w:rPr>
        <w:b/>
        <w:noProof/>
        <w:sz w:val="18"/>
      </w:rPr>
      <w:t>2</w:t>
    </w:r>
    <w:r w:rsidRPr="00D46DD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36132" w14:textId="0760B81E" w:rsidR="008F0182" w:rsidRPr="00D46DDC" w:rsidRDefault="008F0182" w:rsidP="0010210D">
    <w:pPr>
      <w:pStyle w:val="Footer"/>
      <w:tabs>
        <w:tab w:val="right" w:pos="9598"/>
        <w:tab w:val="right" w:pos="9638"/>
      </w:tabs>
      <w:jc w:val="right"/>
      <w:rPr>
        <w:b/>
        <w:sz w:val="18"/>
      </w:rPr>
    </w:pPr>
    <w:r>
      <w:rPr>
        <w:sz w:val="18"/>
      </w:rPr>
      <w:tab/>
    </w:r>
    <w:r w:rsidRPr="00D46DDC">
      <w:rPr>
        <w:b/>
        <w:sz w:val="18"/>
      </w:rPr>
      <w:fldChar w:fldCharType="begin"/>
    </w:r>
    <w:r w:rsidRPr="00D46DDC">
      <w:rPr>
        <w:b/>
        <w:sz w:val="18"/>
      </w:rPr>
      <w:instrText xml:space="preserve"> PAGE  \* MERGEFORMAT </w:instrText>
    </w:r>
    <w:r w:rsidRPr="00D46DDC">
      <w:rPr>
        <w:b/>
        <w:sz w:val="18"/>
      </w:rPr>
      <w:fldChar w:fldCharType="separate"/>
    </w:r>
    <w:r w:rsidR="00A242DE">
      <w:rPr>
        <w:b/>
        <w:noProof/>
        <w:sz w:val="18"/>
      </w:rPr>
      <w:t>11</w:t>
    </w:r>
    <w:r w:rsidRPr="00D46D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1B9C2" w14:textId="5F3B876F" w:rsidR="00A242DE" w:rsidRDefault="00A242DE" w:rsidP="00A242DE">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5B8220D3" wp14:editId="2A321AD1">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09C7A06B" w14:textId="4981025C" w:rsidR="00A242DE" w:rsidRDefault="00A242DE" w:rsidP="00A242DE">
    <w:pPr>
      <w:pStyle w:val="Footer"/>
      <w:ind w:right="1134"/>
      <w:rPr>
        <w:sz w:val="20"/>
      </w:rPr>
    </w:pPr>
    <w:r>
      <w:rPr>
        <w:sz w:val="20"/>
      </w:rPr>
      <w:t>GE.16-12076(E)</w:t>
    </w:r>
  </w:p>
  <w:p w14:paraId="75444F65" w14:textId="634097D9" w:rsidR="00A242DE" w:rsidRPr="00A242DE" w:rsidRDefault="00A242DE" w:rsidP="00A242D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3A13768B" wp14:editId="0E11C76E">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E/C.12/MKD/CO/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MKD/CO/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887D5" w14:textId="77777777" w:rsidR="00C27511" w:rsidRPr="000B175B" w:rsidRDefault="00C27511" w:rsidP="000B175B">
      <w:pPr>
        <w:tabs>
          <w:tab w:val="right" w:pos="2155"/>
        </w:tabs>
        <w:spacing w:after="80"/>
        <w:ind w:left="680"/>
        <w:rPr>
          <w:u w:val="single"/>
        </w:rPr>
      </w:pPr>
      <w:r>
        <w:rPr>
          <w:u w:val="single"/>
        </w:rPr>
        <w:tab/>
      </w:r>
    </w:p>
  </w:footnote>
  <w:footnote w:type="continuationSeparator" w:id="0">
    <w:p w14:paraId="016A7E85" w14:textId="77777777" w:rsidR="00C27511" w:rsidRPr="00FC68B7" w:rsidRDefault="00C27511" w:rsidP="00FC68B7">
      <w:pPr>
        <w:tabs>
          <w:tab w:val="left" w:pos="2155"/>
        </w:tabs>
        <w:spacing w:after="80"/>
        <w:ind w:left="680"/>
        <w:rPr>
          <w:u w:val="single"/>
        </w:rPr>
      </w:pPr>
      <w:r>
        <w:rPr>
          <w:u w:val="single"/>
        </w:rPr>
        <w:tab/>
      </w:r>
    </w:p>
  </w:footnote>
  <w:footnote w:type="continuationNotice" w:id="1">
    <w:p w14:paraId="0A2A3876" w14:textId="77777777" w:rsidR="00C27511" w:rsidRDefault="00C27511"/>
  </w:footnote>
  <w:footnote w:id="2">
    <w:p w14:paraId="0A0AA819" w14:textId="666F6CDF" w:rsidR="008F0182" w:rsidRPr="002C5E82" w:rsidRDefault="008F0182" w:rsidP="00306951">
      <w:pPr>
        <w:pStyle w:val="FootnoteText"/>
        <w:rPr>
          <w:lang w:eastAsia="fr-FR"/>
        </w:rPr>
      </w:pPr>
      <w:r>
        <w:tab/>
      </w:r>
      <w:r w:rsidRPr="0048354D">
        <w:rPr>
          <w:rStyle w:val="FootnoteReference"/>
          <w:sz w:val="20"/>
          <w:vertAlign w:val="baseline"/>
        </w:rPr>
        <w:t>*</w:t>
      </w:r>
      <w:r>
        <w:tab/>
      </w:r>
      <w:proofErr w:type="gramStart"/>
      <w:r>
        <w:t>Adopted by the Committee at its fifty-eighth session (6</w:t>
      </w:r>
      <w:r w:rsidR="00425713">
        <w:t>-</w:t>
      </w:r>
      <w:r>
        <w:t>24 June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562AE" w14:textId="12F26E9A" w:rsidR="008F0182" w:rsidRPr="003D2931" w:rsidRDefault="008F0182" w:rsidP="00087903">
    <w:pPr>
      <w:pStyle w:val="Header"/>
      <w:rPr>
        <w:lang w:val="fr-CH"/>
      </w:rPr>
    </w:pPr>
    <w:r>
      <w:rPr>
        <w:lang w:val="fr-CH"/>
      </w:rPr>
      <w:t>E/C.12/MKD/CO/2-4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CB24F" w14:textId="7989C7C3" w:rsidR="008F0182" w:rsidRPr="003D2931" w:rsidRDefault="008F0182" w:rsidP="007949E7">
    <w:pPr>
      <w:pStyle w:val="Header"/>
      <w:jc w:val="right"/>
      <w:rPr>
        <w:lang w:val="fr-CH"/>
      </w:rPr>
    </w:pPr>
    <w:r>
      <w:rPr>
        <w:lang w:val="fr-CH"/>
      </w:rPr>
      <w:t>E/C.12/MKD/CO/2-4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497EE7"/>
    <w:multiLevelType w:val="hybridMultilevel"/>
    <w:tmpl w:val="ADE4A184"/>
    <w:lvl w:ilvl="0" w:tplc="6D2220D6">
      <w:start w:val="1"/>
      <w:numFmt w:val="lowerLetter"/>
      <w:lvlText w:val="(%1)"/>
      <w:lvlJc w:val="left"/>
      <w:pPr>
        <w:ind w:left="1854" w:hanging="360"/>
      </w:pPr>
      <w:rPr>
        <w:rFonts w:hint="default"/>
      </w:rPr>
    </w:lvl>
    <w:lvl w:ilvl="1" w:tplc="D8CC8F64">
      <w:start w:val="1"/>
      <w:numFmt w:val="lowerLetter"/>
      <w:lvlText w:val="(%2)"/>
      <w:lvlJc w:val="left"/>
      <w:pPr>
        <w:ind w:left="2574" w:hanging="360"/>
      </w:pPr>
      <w:rPr>
        <w:rFonts w:hint="default"/>
        <w:color w:val="auto"/>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04072616"/>
    <w:multiLevelType w:val="hybridMultilevel"/>
    <w:tmpl w:val="9BE4FA42"/>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C387CC1"/>
    <w:multiLevelType w:val="hybridMultilevel"/>
    <w:tmpl w:val="AE3A6FF6"/>
    <w:lvl w:ilvl="0" w:tplc="DE0C239E">
      <w:start w:val="1"/>
      <w:numFmt w:val="lowerLetter"/>
      <w:lvlText w:val="(%1)"/>
      <w:lvlJc w:val="left"/>
      <w:pPr>
        <w:ind w:left="2586" w:hanging="88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670184"/>
    <w:multiLevelType w:val="hybridMultilevel"/>
    <w:tmpl w:val="C4184A88"/>
    <w:lvl w:ilvl="0" w:tplc="63BEE8C4">
      <w:start w:val="1"/>
      <w:numFmt w:val="lowerLetter"/>
      <w:lvlText w:val="(%1)."/>
      <w:lvlJc w:val="left"/>
      <w:pPr>
        <w:ind w:left="1854" w:hanging="360"/>
      </w:pPr>
      <w:rPr>
        <w:rFonts w:hint="default"/>
      </w:rPr>
    </w:lvl>
    <w:lvl w:ilvl="1" w:tplc="63BEE8C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17E269C0"/>
    <w:multiLevelType w:val="hybridMultilevel"/>
    <w:tmpl w:val="8034B10E"/>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7E30907"/>
    <w:multiLevelType w:val="hybridMultilevel"/>
    <w:tmpl w:val="1E0CFAF6"/>
    <w:lvl w:ilvl="0" w:tplc="63BEE8C4">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nsid w:val="18B03F51"/>
    <w:multiLevelType w:val="hybridMultilevel"/>
    <w:tmpl w:val="E410F592"/>
    <w:lvl w:ilvl="0" w:tplc="63BEE8C4">
      <w:start w:val="1"/>
      <w:numFmt w:val="lowerLetter"/>
      <w:lvlText w:val="(%1)."/>
      <w:lvlJc w:val="left"/>
      <w:pPr>
        <w:ind w:left="2421" w:hanging="360"/>
      </w:pPr>
      <w:rPr>
        <w:rFonts w:hint="default"/>
      </w:rPr>
    </w:lvl>
    <w:lvl w:ilvl="1" w:tplc="6D2220D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AD467B2"/>
    <w:multiLevelType w:val="hybridMultilevel"/>
    <w:tmpl w:val="CBD06A8A"/>
    <w:lvl w:ilvl="0" w:tplc="A202CA26">
      <w:start w:val="1"/>
      <w:numFmt w:val="lowerLetter"/>
      <w:lvlText w:val="(%1)"/>
      <w:lvlJc w:val="left"/>
      <w:pPr>
        <w:ind w:left="1494" w:hanging="360"/>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2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F5F4016"/>
    <w:multiLevelType w:val="hybridMultilevel"/>
    <w:tmpl w:val="7E10AE70"/>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508518B"/>
    <w:multiLevelType w:val="hybridMultilevel"/>
    <w:tmpl w:val="33D26A6C"/>
    <w:lvl w:ilvl="0" w:tplc="63BEE8C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4F1213"/>
    <w:multiLevelType w:val="hybridMultilevel"/>
    <w:tmpl w:val="B4247B14"/>
    <w:lvl w:ilvl="0" w:tplc="443C402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3723789C"/>
    <w:multiLevelType w:val="hybridMultilevel"/>
    <w:tmpl w:val="1F50BAE0"/>
    <w:lvl w:ilvl="0" w:tplc="B3F66CD2">
      <w:start w:val="1"/>
      <w:numFmt w:val="bullet"/>
      <w:lvlText w:val=""/>
      <w:lvlJc w:val="left"/>
      <w:pPr>
        <w:ind w:left="360" w:hanging="360"/>
      </w:pPr>
      <w:rPr>
        <w:rFonts w:ascii="Symbol" w:hAnsi="Symbol" w:hint="default"/>
        <w:b w:val="0"/>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B991499"/>
    <w:multiLevelType w:val="hybridMultilevel"/>
    <w:tmpl w:val="920A0D8A"/>
    <w:lvl w:ilvl="0" w:tplc="FA16D86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8">
    <w:nsid w:val="434167FA"/>
    <w:multiLevelType w:val="hybridMultilevel"/>
    <w:tmpl w:val="7F566550"/>
    <w:lvl w:ilvl="0" w:tplc="63BEE8C4">
      <w:start w:val="1"/>
      <w:numFmt w:val="lowerLetter"/>
      <w:lvlText w:val="(%1)."/>
      <w:lvlJc w:val="left"/>
      <w:pPr>
        <w:ind w:left="2421" w:hanging="360"/>
      </w:pPr>
      <w:rPr>
        <w:rFonts w:hint="default"/>
      </w:rPr>
    </w:lvl>
    <w:lvl w:ilvl="1" w:tplc="6D2220D6">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9">
    <w:nsid w:val="43D0321C"/>
    <w:multiLevelType w:val="hybridMultilevel"/>
    <w:tmpl w:val="3326B38E"/>
    <w:lvl w:ilvl="0" w:tplc="63BEE8C4">
      <w:start w:val="1"/>
      <w:numFmt w:val="lowerLetter"/>
      <w:lvlText w:val="(%1)."/>
      <w:lvlJc w:val="left"/>
      <w:pPr>
        <w:ind w:left="1854" w:hanging="360"/>
      </w:pPr>
      <w:rPr>
        <w:rFonts w:hint="default"/>
      </w:rPr>
    </w:lvl>
    <w:lvl w:ilvl="1" w:tplc="6D2220D6">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58130749"/>
    <w:multiLevelType w:val="hybridMultilevel"/>
    <w:tmpl w:val="78C49694"/>
    <w:lvl w:ilvl="0" w:tplc="99F85ED6">
      <w:start w:val="1"/>
      <w:numFmt w:val="lowerLetter"/>
      <w:lvlText w:val="(%1)"/>
      <w:lvlJc w:val="left"/>
      <w:pPr>
        <w:ind w:left="2061"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58B846EA"/>
    <w:multiLevelType w:val="hybridMultilevel"/>
    <w:tmpl w:val="A2BA6584"/>
    <w:lvl w:ilvl="0" w:tplc="6D2220D6">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5BDD7971"/>
    <w:multiLevelType w:val="hybridMultilevel"/>
    <w:tmpl w:val="80363D0A"/>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FE94773"/>
    <w:multiLevelType w:val="hybridMultilevel"/>
    <w:tmpl w:val="718EC194"/>
    <w:lvl w:ilvl="0" w:tplc="C4464C40">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0DF0F60"/>
    <w:multiLevelType w:val="hybridMultilevel"/>
    <w:tmpl w:val="0AAE33A6"/>
    <w:lvl w:ilvl="0" w:tplc="1E5611D6">
      <w:start w:val="1"/>
      <w:numFmt w:val="lowerLetter"/>
      <w:lvlText w:val="(%1)"/>
      <w:lvlJc w:val="left"/>
      <w:pPr>
        <w:ind w:left="2061"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61DB5410"/>
    <w:multiLevelType w:val="hybridMultilevel"/>
    <w:tmpl w:val="2E04A59A"/>
    <w:lvl w:ilvl="0" w:tplc="5A5E48B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nsid w:val="66B1740D"/>
    <w:multiLevelType w:val="hybridMultilevel"/>
    <w:tmpl w:val="FAA66A20"/>
    <w:lvl w:ilvl="0" w:tplc="5C78FC1A">
      <w:start w:val="1"/>
      <w:numFmt w:val="lowerLetter"/>
      <w:lvlText w:val="(%1)"/>
      <w:lvlJc w:val="left"/>
      <w:pPr>
        <w:ind w:left="1494" w:hanging="360"/>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8">
    <w:nsid w:val="706D6712"/>
    <w:multiLevelType w:val="hybridMultilevel"/>
    <w:tmpl w:val="5A0CD892"/>
    <w:lvl w:ilvl="0" w:tplc="2CF4F922">
      <w:start w:val="12"/>
      <w:numFmt w:val="bullet"/>
      <w:lvlText w:val="-"/>
      <w:lvlJc w:val="left"/>
      <w:pPr>
        <w:ind w:left="720" w:hanging="360"/>
      </w:pPr>
      <w:rPr>
        <w:rFonts w:ascii="Calibri" w:eastAsia="Batang" w:hAnsi="Calibri"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210D8B"/>
    <w:multiLevelType w:val="hybridMultilevel"/>
    <w:tmpl w:val="5C48B9E2"/>
    <w:lvl w:ilvl="0" w:tplc="6D2220D6">
      <w:start w:val="1"/>
      <w:numFmt w:val="lowerLetter"/>
      <w:lvlText w:val="(%1)"/>
      <w:lvlJc w:val="left"/>
      <w:pPr>
        <w:ind w:left="2421" w:hanging="360"/>
      </w:pPr>
      <w:rPr>
        <w:rFonts w:hint="default"/>
      </w:rPr>
    </w:lvl>
    <w:lvl w:ilvl="1" w:tplc="6D2220D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34"/>
  </w:num>
  <w:num w:numId="15">
    <w:abstractNumId w:val="15"/>
  </w:num>
  <w:num w:numId="16">
    <w:abstractNumId w:val="13"/>
  </w:num>
  <w:num w:numId="17">
    <w:abstractNumId w:val="27"/>
  </w:num>
  <w:num w:numId="18">
    <w:abstractNumId w:val="33"/>
  </w:num>
  <w:num w:numId="19">
    <w:abstractNumId w:val="35"/>
  </w:num>
  <w:num w:numId="20">
    <w:abstractNumId w:val="38"/>
  </w:num>
  <w:num w:numId="21">
    <w:abstractNumId w:val="32"/>
  </w:num>
  <w:num w:numId="22">
    <w:abstractNumId w:val="22"/>
  </w:num>
  <w:num w:numId="23">
    <w:abstractNumId w:val="12"/>
  </w:num>
  <w:num w:numId="24">
    <w:abstractNumId w:val="26"/>
  </w:num>
  <w:num w:numId="25">
    <w:abstractNumId w:val="17"/>
  </w:num>
  <w:num w:numId="26">
    <w:abstractNumId w:val="25"/>
  </w:num>
  <w:num w:numId="27">
    <w:abstractNumId w:val="30"/>
  </w:num>
  <w:num w:numId="28">
    <w:abstractNumId w:val="37"/>
  </w:num>
  <w:num w:numId="29">
    <w:abstractNumId w:val="20"/>
  </w:num>
  <w:num w:numId="30">
    <w:abstractNumId w:val="36"/>
  </w:num>
  <w:num w:numId="31">
    <w:abstractNumId w:val="19"/>
  </w:num>
  <w:num w:numId="32">
    <w:abstractNumId w:val="14"/>
  </w:num>
  <w:num w:numId="33">
    <w:abstractNumId w:val="18"/>
  </w:num>
  <w:num w:numId="34">
    <w:abstractNumId w:val="23"/>
  </w:num>
  <w:num w:numId="35">
    <w:abstractNumId w:val="16"/>
  </w:num>
  <w:num w:numId="36">
    <w:abstractNumId w:val="29"/>
  </w:num>
  <w:num w:numId="37">
    <w:abstractNumId w:val="31"/>
  </w:num>
  <w:num w:numId="38">
    <w:abstractNumId w:val="28"/>
  </w:num>
  <w:num w:numId="39">
    <w:abstractNumId w:val="39"/>
  </w:num>
  <w:num w:numId="4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fillcolor="white">
      <v:fill color="white"/>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3"/>
    <w:rsid w:val="00002F38"/>
    <w:rsid w:val="00003796"/>
    <w:rsid w:val="00003AB8"/>
    <w:rsid w:val="0001150F"/>
    <w:rsid w:val="00011548"/>
    <w:rsid w:val="00011B14"/>
    <w:rsid w:val="00013DE0"/>
    <w:rsid w:val="00014165"/>
    <w:rsid w:val="00016273"/>
    <w:rsid w:val="00016AA6"/>
    <w:rsid w:val="00021B3B"/>
    <w:rsid w:val="00030B99"/>
    <w:rsid w:val="000411BC"/>
    <w:rsid w:val="000413F2"/>
    <w:rsid w:val="00044A55"/>
    <w:rsid w:val="00045676"/>
    <w:rsid w:val="0004606C"/>
    <w:rsid w:val="00050F6B"/>
    <w:rsid w:val="00052B00"/>
    <w:rsid w:val="00056660"/>
    <w:rsid w:val="00056968"/>
    <w:rsid w:val="00057CAA"/>
    <w:rsid w:val="00057F02"/>
    <w:rsid w:val="00060BAD"/>
    <w:rsid w:val="0006159A"/>
    <w:rsid w:val="00065A44"/>
    <w:rsid w:val="000714F9"/>
    <w:rsid w:val="000726E8"/>
    <w:rsid w:val="00072C8C"/>
    <w:rsid w:val="000753CC"/>
    <w:rsid w:val="000842BF"/>
    <w:rsid w:val="00087903"/>
    <w:rsid w:val="0009316D"/>
    <w:rsid w:val="000931C0"/>
    <w:rsid w:val="00096EB9"/>
    <w:rsid w:val="000A1360"/>
    <w:rsid w:val="000A15BA"/>
    <w:rsid w:val="000A2266"/>
    <w:rsid w:val="000B175B"/>
    <w:rsid w:val="000B1D1F"/>
    <w:rsid w:val="000B207E"/>
    <w:rsid w:val="000B2571"/>
    <w:rsid w:val="000B3A0F"/>
    <w:rsid w:val="000B7C86"/>
    <w:rsid w:val="000C3162"/>
    <w:rsid w:val="000C4C55"/>
    <w:rsid w:val="000C4FBD"/>
    <w:rsid w:val="000C5D0D"/>
    <w:rsid w:val="000C6E96"/>
    <w:rsid w:val="000D5F4D"/>
    <w:rsid w:val="000E0415"/>
    <w:rsid w:val="000E2E7D"/>
    <w:rsid w:val="000E40DF"/>
    <w:rsid w:val="000F0766"/>
    <w:rsid w:val="000F3156"/>
    <w:rsid w:val="000F4AEC"/>
    <w:rsid w:val="0010210D"/>
    <w:rsid w:val="001030FA"/>
    <w:rsid w:val="00106DAD"/>
    <w:rsid w:val="001167C4"/>
    <w:rsid w:val="0012001B"/>
    <w:rsid w:val="00120736"/>
    <w:rsid w:val="00121650"/>
    <w:rsid w:val="001217BB"/>
    <w:rsid w:val="00123005"/>
    <w:rsid w:val="00124F7A"/>
    <w:rsid w:val="00126F2B"/>
    <w:rsid w:val="00131005"/>
    <w:rsid w:val="00131106"/>
    <w:rsid w:val="0014720D"/>
    <w:rsid w:val="001508F8"/>
    <w:rsid w:val="00152372"/>
    <w:rsid w:val="0015418D"/>
    <w:rsid w:val="00160008"/>
    <w:rsid w:val="00161E31"/>
    <w:rsid w:val="001643E6"/>
    <w:rsid w:val="00164A9A"/>
    <w:rsid w:val="00165DF1"/>
    <w:rsid w:val="00172A84"/>
    <w:rsid w:val="00173234"/>
    <w:rsid w:val="00173264"/>
    <w:rsid w:val="00183058"/>
    <w:rsid w:val="0018694B"/>
    <w:rsid w:val="00187B24"/>
    <w:rsid w:val="00192722"/>
    <w:rsid w:val="001937A7"/>
    <w:rsid w:val="00193D52"/>
    <w:rsid w:val="00195414"/>
    <w:rsid w:val="0019557E"/>
    <w:rsid w:val="0019797F"/>
    <w:rsid w:val="001A5F06"/>
    <w:rsid w:val="001B02DA"/>
    <w:rsid w:val="001B3001"/>
    <w:rsid w:val="001B3907"/>
    <w:rsid w:val="001B4B04"/>
    <w:rsid w:val="001B4BE0"/>
    <w:rsid w:val="001B4D10"/>
    <w:rsid w:val="001B5FD7"/>
    <w:rsid w:val="001B677E"/>
    <w:rsid w:val="001B708A"/>
    <w:rsid w:val="001C18D6"/>
    <w:rsid w:val="001C4B16"/>
    <w:rsid w:val="001C5291"/>
    <w:rsid w:val="001C6663"/>
    <w:rsid w:val="001C7895"/>
    <w:rsid w:val="001C7F21"/>
    <w:rsid w:val="001D1861"/>
    <w:rsid w:val="001D26DF"/>
    <w:rsid w:val="001D3301"/>
    <w:rsid w:val="001D3443"/>
    <w:rsid w:val="001D35AC"/>
    <w:rsid w:val="001F3A96"/>
    <w:rsid w:val="001F3FDF"/>
    <w:rsid w:val="001F74B2"/>
    <w:rsid w:val="00200880"/>
    <w:rsid w:val="00202AF1"/>
    <w:rsid w:val="00204081"/>
    <w:rsid w:val="00205E77"/>
    <w:rsid w:val="00210B8D"/>
    <w:rsid w:val="00211E0B"/>
    <w:rsid w:val="00213B75"/>
    <w:rsid w:val="00221861"/>
    <w:rsid w:val="00226825"/>
    <w:rsid w:val="00231771"/>
    <w:rsid w:val="0023347E"/>
    <w:rsid w:val="00235C06"/>
    <w:rsid w:val="00241100"/>
    <w:rsid w:val="0024165B"/>
    <w:rsid w:val="002427D2"/>
    <w:rsid w:val="00242A93"/>
    <w:rsid w:val="0024410E"/>
    <w:rsid w:val="00246FD4"/>
    <w:rsid w:val="002470B4"/>
    <w:rsid w:val="00251532"/>
    <w:rsid w:val="00252254"/>
    <w:rsid w:val="002533E6"/>
    <w:rsid w:val="0025549D"/>
    <w:rsid w:val="0025639B"/>
    <w:rsid w:val="00260868"/>
    <w:rsid w:val="00261EDB"/>
    <w:rsid w:val="00264C45"/>
    <w:rsid w:val="002706FB"/>
    <w:rsid w:val="002726C2"/>
    <w:rsid w:val="00273557"/>
    <w:rsid w:val="00273EA3"/>
    <w:rsid w:val="0027428F"/>
    <w:rsid w:val="00275218"/>
    <w:rsid w:val="00276EE6"/>
    <w:rsid w:val="00280FAF"/>
    <w:rsid w:val="002830FE"/>
    <w:rsid w:val="00283D5E"/>
    <w:rsid w:val="002902B8"/>
    <w:rsid w:val="00292A55"/>
    <w:rsid w:val="00297783"/>
    <w:rsid w:val="00297981"/>
    <w:rsid w:val="002A0CC4"/>
    <w:rsid w:val="002A0DEF"/>
    <w:rsid w:val="002A15B2"/>
    <w:rsid w:val="002A66E8"/>
    <w:rsid w:val="002A6E85"/>
    <w:rsid w:val="002B7069"/>
    <w:rsid w:val="002B75EE"/>
    <w:rsid w:val="002B7C71"/>
    <w:rsid w:val="002C08F2"/>
    <w:rsid w:val="002C1690"/>
    <w:rsid w:val="002C3BCF"/>
    <w:rsid w:val="002C4378"/>
    <w:rsid w:val="002C5E82"/>
    <w:rsid w:val="002D1189"/>
    <w:rsid w:val="002D7990"/>
    <w:rsid w:val="002E0825"/>
    <w:rsid w:val="002E0856"/>
    <w:rsid w:val="002E0EBC"/>
    <w:rsid w:val="002E10B3"/>
    <w:rsid w:val="002E1967"/>
    <w:rsid w:val="002E1C31"/>
    <w:rsid w:val="002E1ED5"/>
    <w:rsid w:val="002E416E"/>
    <w:rsid w:val="002E4711"/>
    <w:rsid w:val="002E4E24"/>
    <w:rsid w:val="002E5E59"/>
    <w:rsid w:val="002F229B"/>
    <w:rsid w:val="002F3320"/>
    <w:rsid w:val="002F4486"/>
    <w:rsid w:val="002F6E5E"/>
    <w:rsid w:val="003066C7"/>
    <w:rsid w:val="00306951"/>
    <w:rsid w:val="003107FA"/>
    <w:rsid w:val="00310878"/>
    <w:rsid w:val="00311847"/>
    <w:rsid w:val="00312217"/>
    <w:rsid w:val="00313BB7"/>
    <w:rsid w:val="00315D28"/>
    <w:rsid w:val="0032057A"/>
    <w:rsid w:val="00321155"/>
    <w:rsid w:val="003212AC"/>
    <w:rsid w:val="003229D8"/>
    <w:rsid w:val="00322BE7"/>
    <w:rsid w:val="0032331C"/>
    <w:rsid w:val="003304C0"/>
    <w:rsid w:val="00331F0B"/>
    <w:rsid w:val="0033262B"/>
    <w:rsid w:val="003335E1"/>
    <w:rsid w:val="00336230"/>
    <w:rsid w:val="0033641B"/>
    <w:rsid w:val="003372AF"/>
    <w:rsid w:val="0034518E"/>
    <w:rsid w:val="00345650"/>
    <w:rsid w:val="00351568"/>
    <w:rsid w:val="00356257"/>
    <w:rsid w:val="00356D3C"/>
    <w:rsid w:val="00363C11"/>
    <w:rsid w:val="00363DCC"/>
    <w:rsid w:val="00363E73"/>
    <w:rsid w:val="00364FB3"/>
    <w:rsid w:val="003710F6"/>
    <w:rsid w:val="00371232"/>
    <w:rsid w:val="00371B04"/>
    <w:rsid w:val="00372864"/>
    <w:rsid w:val="0038522B"/>
    <w:rsid w:val="003860B8"/>
    <w:rsid w:val="00387F84"/>
    <w:rsid w:val="003926B4"/>
    <w:rsid w:val="0039277A"/>
    <w:rsid w:val="0039527A"/>
    <w:rsid w:val="00396D66"/>
    <w:rsid w:val="003972E0"/>
    <w:rsid w:val="003A3758"/>
    <w:rsid w:val="003A565B"/>
    <w:rsid w:val="003A5C21"/>
    <w:rsid w:val="003B41EA"/>
    <w:rsid w:val="003B651F"/>
    <w:rsid w:val="003C2CC4"/>
    <w:rsid w:val="003D2931"/>
    <w:rsid w:val="003D4B23"/>
    <w:rsid w:val="003D59CC"/>
    <w:rsid w:val="003D5F40"/>
    <w:rsid w:val="003D61A3"/>
    <w:rsid w:val="003E5A84"/>
    <w:rsid w:val="003F111F"/>
    <w:rsid w:val="003F1723"/>
    <w:rsid w:val="003F4DB7"/>
    <w:rsid w:val="003F7C05"/>
    <w:rsid w:val="00402F39"/>
    <w:rsid w:val="00404F5C"/>
    <w:rsid w:val="0041099C"/>
    <w:rsid w:val="004170E9"/>
    <w:rsid w:val="00420015"/>
    <w:rsid w:val="004243E2"/>
    <w:rsid w:val="00425713"/>
    <w:rsid w:val="004259F0"/>
    <w:rsid w:val="004325CB"/>
    <w:rsid w:val="00432DBE"/>
    <w:rsid w:val="00433235"/>
    <w:rsid w:val="004362E8"/>
    <w:rsid w:val="00437569"/>
    <w:rsid w:val="00441151"/>
    <w:rsid w:val="00444580"/>
    <w:rsid w:val="004464E0"/>
    <w:rsid w:val="00446DE4"/>
    <w:rsid w:val="004474BB"/>
    <w:rsid w:val="004478B2"/>
    <w:rsid w:val="0045234F"/>
    <w:rsid w:val="00452BF5"/>
    <w:rsid w:val="00452E3C"/>
    <w:rsid w:val="00457830"/>
    <w:rsid w:val="0046005F"/>
    <w:rsid w:val="004626B3"/>
    <w:rsid w:val="004629F9"/>
    <w:rsid w:val="0046339A"/>
    <w:rsid w:val="004758D8"/>
    <w:rsid w:val="0047671A"/>
    <w:rsid w:val="004769AE"/>
    <w:rsid w:val="00477CE1"/>
    <w:rsid w:val="00477F15"/>
    <w:rsid w:val="0048055F"/>
    <w:rsid w:val="00480DD8"/>
    <w:rsid w:val="004811C6"/>
    <w:rsid w:val="004816BA"/>
    <w:rsid w:val="0048354D"/>
    <w:rsid w:val="00486835"/>
    <w:rsid w:val="004931C0"/>
    <w:rsid w:val="004A41CA"/>
    <w:rsid w:val="004B6E26"/>
    <w:rsid w:val="004B7125"/>
    <w:rsid w:val="004B7FC9"/>
    <w:rsid w:val="004C1E08"/>
    <w:rsid w:val="004C4653"/>
    <w:rsid w:val="004D5720"/>
    <w:rsid w:val="004D6867"/>
    <w:rsid w:val="004E4942"/>
    <w:rsid w:val="004F1CAB"/>
    <w:rsid w:val="00501BE1"/>
    <w:rsid w:val="0050370D"/>
    <w:rsid w:val="00505135"/>
    <w:rsid w:val="00505DFB"/>
    <w:rsid w:val="00511E75"/>
    <w:rsid w:val="00513180"/>
    <w:rsid w:val="005132B6"/>
    <w:rsid w:val="005136F5"/>
    <w:rsid w:val="00516F06"/>
    <w:rsid w:val="00525910"/>
    <w:rsid w:val="00533D48"/>
    <w:rsid w:val="00535007"/>
    <w:rsid w:val="00535809"/>
    <w:rsid w:val="0053654B"/>
    <w:rsid w:val="00537FA6"/>
    <w:rsid w:val="00540E79"/>
    <w:rsid w:val="00541F46"/>
    <w:rsid w:val="005420F2"/>
    <w:rsid w:val="00542D8C"/>
    <w:rsid w:val="00547B87"/>
    <w:rsid w:val="00550855"/>
    <w:rsid w:val="005574C4"/>
    <w:rsid w:val="00561BD6"/>
    <w:rsid w:val="00563114"/>
    <w:rsid w:val="00564FE3"/>
    <w:rsid w:val="00575110"/>
    <w:rsid w:val="005767D9"/>
    <w:rsid w:val="00577471"/>
    <w:rsid w:val="00581CC9"/>
    <w:rsid w:val="0058232E"/>
    <w:rsid w:val="00587696"/>
    <w:rsid w:val="00592609"/>
    <w:rsid w:val="00592C70"/>
    <w:rsid w:val="0059667B"/>
    <w:rsid w:val="00596AF2"/>
    <w:rsid w:val="00597B2E"/>
    <w:rsid w:val="005A1ED0"/>
    <w:rsid w:val="005A4D07"/>
    <w:rsid w:val="005B0CC8"/>
    <w:rsid w:val="005B3DB3"/>
    <w:rsid w:val="005C2F08"/>
    <w:rsid w:val="005C65C5"/>
    <w:rsid w:val="005D28FF"/>
    <w:rsid w:val="005D32EA"/>
    <w:rsid w:val="005D3D0A"/>
    <w:rsid w:val="005D5E0E"/>
    <w:rsid w:val="005D7A78"/>
    <w:rsid w:val="005E5002"/>
    <w:rsid w:val="005E74C7"/>
    <w:rsid w:val="005F0624"/>
    <w:rsid w:val="005F0D1D"/>
    <w:rsid w:val="005F2457"/>
    <w:rsid w:val="005F4C7C"/>
    <w:rsid w:val="005F5A20"/>
    <w:rsid w:val="005F5C61"/>
    <w:rsid w:val="00601B4C"/>
    <w:rsid w:val="00603D5C"/>
    <w:rsid w:val="00606268"/>
    <w:rsid w:val="006067AA"/>
    <w:rsid w:val="006103DF"/>
    <w:rsid w:val="00611EB3"/>
    <w:rsid w:val="00611FC4"/>
    <w:rsid w:val="00613BDA"/>
    <w:rsid w:val="0061628C"/>
    <w:rsid w:val="006170E2"/>
    <w:rsid w:val="006175B0"/>
    <w:rsid w:val="006176FB"/>
    <w:rsid w:val="00624D0A"/>
    <w:rsid w:val="00625442"/>
    <w:rsid w:val="00627ED0"/>
    <w:rsid w:val="00630BA0"/>
    <w:rsid w:val="006320B0"/>
    <w:rsid w:val="00636F40"/>
    <w:rsid w:val="00637580"/>
    <w:rsid w:val="00637E9E"/>
    <w:rsid w:val="00640B26"/>
    <w:rsid w:val="006429E6"/>
    <w:rsid w:val="006436E9"/>
    <w:rsid w:val="00643B32"/>
    <w:rsid w:val="00650E27"/>
    <w:rsid w:val="00652599"/>
    <w:rsid w:val="00656F97"/>
    <w:rsid w:val="00661188"/>
    <w:rsid w:val="00662121"/>
    <w:rsid w:val="006641AB"/>
    <w:rsid w:val="00665595"/>
    <w:rsid w:val="006710CD"/>
    <w:rsid w:val="006714F7"/>
    <w:rsid w:val="00673163"/>
    <w:rsid w:val="006742B8"/>
    <w:rsid w:val="006760E3"/>
    <w:rsid w:val="00681C79"/>
    <w:rsid w:val="006830B2"/>
    <w:rsid w:val="006839B8"/>
    <w:rsid w:val="00685DA4"/>
    <w:rsid w:val="00687ADC"/>
    <w:rsid w:val="00687B21"/>
    <w:rsid w:val="00696C59"/>
    <w:rsid w:val="00697E11"/>
    <w:rsid w:val="006A7392"/>
    <w:rsid w:val="006B27C7"/>
    <w:rsid w:val="006B2837"/>
    <w:rsid w:val="006B3DF4"/>
    <w:rsid w:val="006C249E"/>
    <w:rsid w:val="006C524F"/>
    <w:rsid w:val="006D235C"/>
    <w:rsid w:val="006D41C7"/>
    <w:rsid w:val="006D4CF3"/>
    <w:rsid w:val="006E0A73"/>
    <w:rsid w:val="006E233E"/>
    <w:rsid w:val="006E2762"/>
    <w:rsid w:val="006E31D5"/>
    <w:rsid w:val="006E3B7D"/>
    <w:rsid w:val="006E4E86"/>
    <w:rsid w:val="006E564B"/>
    <w:rsid w:val="006F063A"/>
    <w:rsid w:val="006F2455"/>
    <w:rsid w:val="006F42EF"/>
    <w:rsid w:val="006F6ABF"/>
    <w:rsid w:val="006F6E0A"/>
    <w:rsid w:val="007005CE"/>
    <w:rsid w:val="007008CD"/>
    <w:rsid w:val="00700B07"/>
    <w:rsid w:val="00705496"/>
    <w:rsid w:val="00707951"/>
    <w:rsid w:val="00711565"/>
    <w:rsid w:val="00711E39"/>
    <w:rsid w:val="00712DB2"/>
    <w:rsid w:val="00715681"/>
    <w:rsid w:val="007232A9"/>
    <w:rsid w:val="0072332E"/>
    <w:rsid w:val="00723EA9"/>
    <w:rsid w:val="007241A8"/>
    <w:rsid w:val="0072534B"/>
    <w:rsid w:val="0072632A"/>
    <w:rsid w:val="0073141D"/>
    <w:rsid w:val="00733127"/>
    <w:rsid w:val="007351AD"/>
    <w:rsid w:val="00740157"/>
    <w:rsid w:val="00741CC9"/>
    <w:rsid w:val="00742083"/>
    <w:rsid w:val="00744E57"/>
    <w:rsid w:val="00745BEA"/>
    <w:rsid w:val="00747D37"/>
    <w:rsid w:val="0075009C"/>
    <w:rsid w:val="00750F18"/>
    <w:rsid w:val="00752416"/>
    <w:rsid w:val="00752FF7"/>
    <w:rsid w:val="0075660D"/>
    <w:rsid w:val="007604A4"/>
    <w:rsid w:val="007627A2"/>
    <w:rsid w:val="00765ADB"/>
    <w:rsid w:val="00765D01"/>
    <w:rsid w:val="007709C2"/>
    <w:rsid w:val="00771008"/>
    <w:rsid w:val="0077156C"/>
    <w:rsid w:val="00781D9E"/>
    <w:rsid w:val="00781E6D"/>
    <w:rsid w:val="0078217A"/>
    <w:rsid w:val="00784C0B"/>
    <w:rsid w:val="00787CBA"/>
    <w:rsid w:val="007949E7"/>
    <w:rsid w:val="00794B6F"/>
    <w:rsid w:val="00796269"/>
    <w:rsid w:val="00797AD1"/>
    <w:rsid w:val="007A1923"/>
    <w:rsid w:val="007A2D0A"/>
    <w:rsid w:val="007A690C"/>
    <w:rsid w:val="007B16E9"/>
    <w:rsid w:val="007B4602"/>
    <w:rsid w:val="007B48B7"/>
    <w:rsid w:val="007B6035"/>
    <w:rsid w:val="007B6BA5"/>
    <w:rsid w:val="007B740F"/>
    <w:rsid w:val="007C1FBF"/>
    <w:rsid w:val="007C21D2"/>
    <w:rsid w:val="007C2C6E"/>
    <w:rsid w:val="007C3390"/>
    <w:rsid w:val="007C4831"/>
    <w:rsid w:val="007C4F4B"/>
    <w:rsid w:val="007C69DA"/>
    <w:rsid w:val="007D1D4B"/>
    <w:rsid w:val="007D3F80"/>
    <w:rsid w:val="007D5B71"/>
    <w:rsid w:val="007E06A1"/>
    <w:rsid w:val="007E2C6D"/>
    <w:rsid w:val="007E6473"/>
    <w:rsid w:val="007E67A9"/>
    <w:rsid w:val="007F0B83"/>
    <w:rsid w:val="007F0ECC"/>
    <w:rsid w:val="007F1E0C"/>
    <w:rsid w:val="007F3FB6"/>
    <w:rsid w:val="007F6611"/>
    <w:rsid w:val="00800177"/>
    <w:rsid w:val="00802C04"/>
    <w:rsid w:val="00803C67"/>
    <w:rsid w:val="00804EED"/>
    <w:rsid w:val="0080573C"/>
    <w:rsid w:val="00807675"/>
    <w:rsid w:val="00812075"/>
    <w:rsid w:val="008175E9"/>
    <w:rsid w:val="00817876"/>
    <w:rsid w:val="00822B67"/>
    <w:rsid w:val="008242D7"/>
    <w:rsid w:val="008272F4"/>
    <w:rsid w:val="008311A3"/>
    <w:rsid w:val="00833DF0"/>
    <w:rsid w:val="00840224"/>
    <w:rsid w:val="00842322"/>
    <w:rsid w:val="00851A39"/>
    <w:rsid w:val="008527C7"/>
    <w:rsid w:val="00854C25"/>
    <w:rsid w:val="00860F19"/>
    <w:rsid w:val="0086595E"/>
    <w:rsid w:val="00871BA9"/>
    <w:rsid w:val="00871FD5"/>
    <w:rsid w:val="00872F91"/>
    <w:rsid w:val="00873624"/>
    <w:rsid w:val="00874668"/>
    <w:rsid w:val="00875834"/>
    <w:rsid w:val="0088069C"/>
    <w:rsid w:val="00884243"/>
    <w:rsid w:val="008858FA"/>
    <w:rsid w:val="00885BB6"/>
    <w:rsid w:val="00893620"/>
    <w:rsid w:val="0089443D"/>
    <w:rsid w:val="008979B1"/>
    <w:rsid w:val="008A5D92"/>
    <w:rsid w:val="008A6B25"/>
    <w:rsid w:val="008A6C4F"/>
    <w:rsid w:val="008B4BA4"/>
    <w:rsid w:val="008B65B9"/>
    <w:rsid w:val="008B7332"/>
    <w:rsid w:val="008B7A3C"/>
    <w:rsid w:val="008C112D"/>
    <w:rsid w:val="008C5AD4"/>
    <w:rsid w:val="008D2484"/>
    <w:rsid w:val="008D4DF2"/>
    <w:rsid w:val="008D57CF"/>
    <w:rsid w:val="008D74FE"/>
    <w:rsid w:val="008D7E94"/>
    <w:rsid w:val="008E0BD5"/>
    <w:rsid w:val="008E0E46"/>
    <w:rsid w:val="008E0FD0"/>
    <w:rsid w:val="008E124A"/>
    <w:rsid w:val="008E4FCB"/>
    <w:rsid w:val="008E6417"/>
    <w:rsid w:val="008E653C"/>
    <w:rsid w:val="008E7289"/>
    <w:rsid w:val="008F0182"/>
    <w:rsid w:val="008F1555"/>
    <w:rsid w:val="008F284A"/>
    <w:rsid w:val="008F423E"/>
    <w:rsid w:val="008F63C2"/>
    <w:rsid w:val="008F66E9"/>
    <w:rsid w:val="008F6BD3"/>
    <w:rsid w:val="008F78EE"/>
    <w:rsid w:val="008F79B2"/>
    <w:rsid w:val="00903522"/>
    <w:rsid w:val="009074B7"/>
    <w:rsid w:val="00907AD2"/>
    <w:rsid w:val="0091769B"/>
    <w:rsid w:val="009208E2"/>
    <w:rsid w:val="00922B52"/>
    <w:rsid w:val="009250CB"/>
    <w:rsid w:val="00925E4E"/>
    <w:rsid w:val="009317DF"/>
    <w:rsid w:val="009326AA"/>
    <w:rsid w:val="009336D2"/>
    <w:rsid w:val="00942AF7"/>
    <w:rsid w:val="00943979"/>
    <w:rsid w:val="0094498A"/>
    <w:rsid w:val="00945560"/>
    <w:rsid w:val="00952294"/>
    <w:rsid w:val="00952F8E"/>
    <w:rsid w:val="009559BE"/>
    <w:rsid w:val="009570F3"/>
    <w:rsid w:val="00961E99"/>
    <w:rsid w:val="00963CBA"/>
    <w:rsid w:val="00965633"/>
    <w:rsid w:val="00967060"/>
    <w:rsid w:val="009702DE"/>
    <w:rsid w:val="00973D8F"/>
    <w:rsid w:val="00974A8D"/>
    <w:rsid w:val="009753F0"/>
    <w:rsid w:val="0097748A"/>
    <w:rsid w:val="00986F7D"/>
    <w:rsid w:val="00991261"/>
    <w:rsid w:val="00991942"/>
    <w:rsid w:val="0099218E"/>
    <w:rsid w:val="00994914"/>
    <w:rsid w:val="00996D74"/>
    <w:rsid w:val="009A0123"/>
    <w:rsid w:val="009A04FB"/>
    <w:rsid w:val="009A0F6C"/>
    <w:rsid w:val="009A106A"/>
    <w:rsid w:val="009A1267"/>
    <w:rsid w:val="009A2208"/>
    <w:rsid w:val="009A4266"/>
    <w:rsid w:val="009A60AE"/>
    <w:rsid w:val="009A7924"/>
    <w:rsid w:val="009B0B36"/>
    <w:rsid w:val="009B10B2"/>
    <w:rsid w:val="009B22BF"/>
    <w:rsid w:val="009B5779"/>
    <w:rsid w:val="009C01F9"/>
    <w:rsid w:val="009C1131"/>
    <w:rsid w:val="009C1586"/>
    <w:rsid w:val="009C16BD"/>
    <w:rsid w:val="009C32D4"/>
    <w:rsid w:val="009C43CE"/>
    <w:rsid w:val="009C7C9A"/>
    <w:rsid w:val="009D3B03"/>
    <w:rsid w:val="009D5C55"/>
    <w:rsid w:val="009D6757"/>
    <w:rsid w:val="009E3D43"/>
    <w:rsid w:val="009E4FED"/>
    <w:rsid w:val="009E606A"/>
    <w:rsid w:val="009E7C2A"/>
    <w:rsid w:val="009F0085"/>
    <w:rsid w:val="009F04E1"/>
    <w:rsid w:val="009F126B"/>
    <w:rsid w:val="009F1369"/>
    <w:rsid w:val="009F1E30"/>
    <w:rsid w:val="009F22A1"/>
    <w:rsid w:val="009F3A17"/>
    <w:rsid w:val="009F3E4E"/>
    <w:rsid w:val="00A02795"/>
    <w:rsid w:val="00A043D1"/>
    <w:rsid w:val="00A0750A"/>
    <w:rsid w:val="00A07D3D"/>
    <w:rsid w:val="00A106A1"/>
    <w:rsid w:val="00A1134B"/>
    <w:rsid w:val="00A11821"/>
    <w:rsid w:val="00A1427D"/>
    <w:rsid w:val="00A14809"/>
    <w:rsid w:val="00A14953"/>
    <w:rsid w:val="00A15428"/>
    <w:rsid w:val="00A170FC"/>
    <w:rsid w:val="00A17506"/>
    <w:rsid w:val="00A200CB"/>
    <w:rsid w:val="00A21ADA"/>
    <w:rsid w:val="00A242DE"/>
    <w:rsid w:val="00A26181"/>
    <w:rsid w:val="00A26FC4"/>
    <w:rsid w:val="00A27369"/>
    <w:rsid w:val="00A327F2"/>
    <w:rsid w:val="00A33203"/>
    <w:rsid w:val="00A35A17"/>
    <w:rsid w:val="00A36F9C"/>
    <w:rsid w:val="00A37D88"/>
    <w:rsid w:val="00A4594D"/>
    <w:rsid w:val="00A46760"/>
    <w:rsid w:val="00A50F86"/>
    <w:rsid w:val="00A50FC8"/>
    <w:rsid w:val="00A53080"/>
    <w:rsid w:val="00A609FF"/>
    <w:rsid w:val="00A61543"/>
    <w:rsid w:val="00A63B36"/>
    <w:rsid w:val="00A666A8"/>
    <w:rsid w:val="00A66F64"/>
    <w:rsid w:val="00A67DA9"/>
    <w:rsid w:val="00A70854"/>
    <w:rsid w:val="00A7150E"/>
    <w:rsid w:val="00A72F22"/>
    <w:rsid w:val="00A73266"/>
    <w:rsid w:val="00A732E8"/>
    <w:rsid w:val="00A73FF8"/>
    <w:rsid w:val="00A748A6"/>
    <w:rsid w:val="00A77059"/>
    <w:rsid w:val="00A820DD"/>
    <w:rsid w:val="00A8334B"/>
    <w:rsid w:val="00A839D1"/>
    <w:rsid w:val="00A8566C"/>
    <w:rsid w:val="00A879A4"/>
    <w:rsid w:val="00A905B9"/>
    <w:rsid w:val="00A9232E"/>
    <w:rsid w:val="00A93575"/>
    <w:rsid w:val="00A9734F"/>
    <w:rsid w:val="00AA2495"/>
    <w:rsid w:val="00AA460F"/>
    <w:rsid w:val="00AA4628"/>
    <w:rsid w:val="00AA5D0F"/>
    <w:rsid w:val="00AB3955"/>
    <w:rsid w:val="00AC42D6"/>
    <w:rsid w:val="00AC59A2"/>
    <w:rsid w:val="00AC7FC5"/>
    <w:rsid w:val="00AD0A6B"/>
    <w:rsid w:val="00AD4202"/>
    <w:rsid w:val="00AD4C72"/>
    <w:rsid w:val="00AD7B8A"/>
    <w:rsid w:val="00AE14D3"/>
    <w:rsid w:val="00AE3ADD"/>
    <w:rsid w:val="00AE3C55"/>
    <w:rsid w:val="00AE5754"/>
    <w:rsid w:val="00AE7109"/>
    <w:rsid w:val="00AF0DA1"/>
    <w:rsid w:val="00AF3AD2"/>
    <w:rsid w:val="00B01876"/>
    <w:rsid w:val="00B03C40"/>
    <w:rsid w:val="00B056AC"/>
    <w:rsid w:val="00B06459"/>
    <w:rsid w:val="00B07E37"/>
    <w:rsid w:val="00B10F56"/>
    <w:rsid w:val="00B134EB"/>
    <w:rsid w:val="00B1750F"/>
    <w:rsid w:val="00B20855"/>
    <w:rsid w:val="00B20D2F"/>
    <w:rsid w:val="00B222CE"/>
    <w:rsid w:val="00B26F7F"/>
    <w:rsid w:val="00B27AF8"/>
    <w:rsid w:val="00B30179"/>
    <w:rsid w:val="00B3100B"/>
    <w:rsid w:val="00B318EB"/>
    <w:rsid w:val="00B319DB"/>
    <w:rsid w:val="00B3260A"/>
    <w:rsid w:val="00B33EC0"/>
    <w:rsid w:val="00B347BD"/>
    <w:rsid w:val="00B36C43"/>
    <w:rsid w:val="00B417FE"/>
    <w:rsid w:val="00B44C3B"/>
    <w:rsid w:val="00B47723"/>
    <w:rsid w:val="00B50320"/>
    <w:rsid w:val="00B52D25"/>
    <w:rsid w:val="00B60C09"/>
    <w:rsid w:val="00B61D25"/>
    <w:rsid w:val="00B66884"/>
    <w:rsid w:val="00B81E12"/>
    <w:rsid w:val="00B846E3"/>
    <w:rsid w:val="00B84C51"/>
    <w:rsid w:val="00B92105"/>
    <w:rsid w:val="00B92736"/>
    <w:rsid w:val="00B96EB3"/>
    <w:rsid w:val="00BA0659"/>
    <w:rsid w:val="00BA3A0E"/>
    <w:rsid w:val="00BA6555"/>
    <w:rsid w:val="00BA6B8A"/>
    <w:rsid w:val="00BB078D"/>
    <w:rsid w:val="00BB476A"/>
    <w:rsid w:val="00BB5F9B"/>
    <w:rsid w:val="00BB7158"/>
    <w:rsid w:val="00BC0578"/>
    <w:rsid w:val="00BC1969"/>
    <w:rsid w:val="00BC5E01"/>
    <w:rsid w:val="00BC6DA2"/>
    <w:rsid w:val="00BC74E9"/>
    <w:rsid w:val="00BC7BD7"/>
    <w:rsid w:val="00BC7C5B"/>
    <w:rsid w:val="00BD0366"/>
    <w:rsid w:val="00BD07EF"/>
    <w:rsid w:val="00BD0999"/>
    <w:rsid w:val="00BD1216"/>
    <w:rsid w:val="00BD12D4"/>
    <w:rsid w:val="00BD2D1F"/>
    <w:rsid w:val="00BD5687"/>
    <w:rsid w:val="00BE4F74"/>
    <w:rsid w:val="00BE5A5B"/>
    <w:rsid w:val="00BE618E"/>
    <w:rsid w:val="00BE7C4D"/>
    <w:rsid w:val="00BF64A3"/>
    <w:rsid w:val="00C00BD0"/>
    <w:rsid w:val="00C00D9A"/>
    <w:rsid w:val="00C043D8"/>
    <w:rsid w:val="00C05091"/>
    <w:rsid w:val="00C1000D"/>
    <w:rsid w:val="00C11B6B"/>
    <w:rsid w:val="00C20FAE"/>
    <w:rsid w:val="00C2224C"/>
    <w:rsid w:val="00C27511"/>
    <w:rsid w:val="00C31B13"/>
    <w:rsid w:val="00C34281"/>
    <w:rsid w:val="00C34B14"/>
    <w:rsid w:val="00C3534B"/>
    <w:rsid w:val="00C353DC"/>
    <w:rsid w:val="00C36EEF"/>
    <w:rsid w:val="00C43863"/>
    <w:rsid w:val="00C43DF7"/>
    <w:rsid w:val="00C463DD"/>
    <w:rsid w:val="00C50557"/>
    <w:rsid w:val="00C50EBF"/>
    <w:rsid w:val="00C52BEF"/>
    <w:rsid w:val="00C52DAD"/>
    <w:rsid w:val="00C55A74"/>
    <w:rsid w:val="00C63E9D"/>
    <w:rsid w:val="00C662C7"/>
    <w:rsid w:val="00C67CEE"/>
    <w:rsid w:val="00C728BC"/>
    <w:rsid w:val="00C745C3"/>
    <w:rsid w:val="00C7649E"/>
    <w:rsid w:val="00C776D2"/>
    <w:rsid w:val="00C8185B"/>
    <w:rsid w:val="00C82F62"/>
    <w:rsid w:val="00C84722"/>
    <w:rsid w:val="00C84B2D"/>
    <w:rsid w:val="00C84E90"/>
    <w:rsid w:val="00C85A4D"/>
    <w:rsid w:val="00C8778B"/>
    <w:rsid w:val="00C87D3E"/>
    <w:rsid w:val="00C87FDE"/>
    <w:rsid w:val="00C97AA3"/>
    <w:rsid w:val="00CA4169"/>
    <w:rsid w:val="00CA6EE6"/>
    <w:rsid w:val="00CC0BB1"/>
    <w:rsid w:val="00CC1584"/>
    <w:rsid w:val="00CC1612"/>
    <w:rsid w:val="00CC68C8"/>
    <w:rsid w:val="00CD03EB"/>
    <w:rsid w:val="00CD4102"/>
    <w:rsid w:val="00CD425B"/>
    <w:rsid w:val="00CE0C74"/>
    <w:rsid w:val="00CE4A8F"/>
    <w:rsid w:val="00CE5272"/>
    <w:rsid w:val="00CE55A0"/>
    <w:rsid w:val="00CE6A82"/>
    <w:rsid w:val="00CE6C07"/>
    <w:rsid w:val="00CF442C"/>
    <w:rsid w:val="00CF6317"/>
    <w:rsid w:val="00CF659A"/>
    <w:rsid w:val="00CF7747"/>
    <w:rsid w:val="00D05407"/>
    <w:rsid w:val="00D13424"/>
    <w:rsid w:val="00D166B5"/>
    <w:rsid w:val="00D16AA0"/>
    <w:rsid w:val="00D2031B"/>
    <w:rsid w:val="00D2310D"/>
    <w:rsid w:val="00D25FE2"/>
    <w:rsid w:val="00D30281"/>
    <w:rsid w:val="00D30A9A"/>
    <w:rsid w:val="00D317BB"/>
    <w:rsid w:val="00D33D78"/>
    <w:rsid w:val="00D33FBA"/>
    <w:rsid w:val="00D413FC"/>
    <w:rsid w:val="00D43252"/>
    <w:rsid w:val="00D46DDC"/>
    <w:rsid w:val="00D46FD2"/>
    <w:rsid w:val="00D477E1"/>
    <w:rsid w:val="00D52957"/>
    <w:rsid w:val="00D628B6"/>
    <w:rsid w:val="00D63B5A"/>
    <w:rsid w:val="00D652EE"/>
    <w:rsid w:val="00D666E6"/>
    <w:rsid w:val="00D6733E"/>
    <w:rsid w:val="00D70A8E"/>
    <w:rsid w:val="00D73D33"/>
    <w:rsid w:val="00D763E7"/>
    <w:rsid w:val="00D77290"/>
    <w:rsid w:val="00D80302"/>
    <w:rsid w:val="00D8253B"/>
    <w:rsid w:val="00D826B1"/>
    <w:rsid w:val="00D82E1D"/>
    <w:rsid w:val="00D968F0"/>
    <w:rsid w:val="00D96ADE"/>
    <w:rsid w:val="00D96C3D"/>
    <w:rsid w:val="00D978C6"/>
    <w:rsid w:val="00D97D35"/>
    <w:rsid w:val="00D97D3F"/>
    <w:rsid w:val="00DA1E04"/>
    <w:rsid w:val="00DA5661"/>
    <w:rsid w:val="00DA67AD"/>
    <w:rsid w:val="00DA7099"/>
    <w:rsid w:val="00DB0F0D"/>
    <w:rsid w:val="00DB33A2"/>
    <w:rsid w:val="00DB34BC"/>
    <w:rsid w:val="00DB5A19"/>
    <w:rsid w:val="00DB7BBB"/>
    <w:rsid w:val="00DC1FA9"/>
    <w:rsid w:val="00DC242D"/>
    <w:rsid w:val="00DC46AC"/>
    <w:rsid w:val="00DC4E6D"/>
    <w:rsid w:val="00DD1051"/>
    <w:rsid w:val="00DD16FA"/>
    <w:rsid w:val="00DD20D3"/>
    <w:rsid w:val="00DE3849"/>
    <w:rsid w:val="00DE601D"/>
    <w:rsid w:val="00DE6935"/>
    <w:rsid w:val="00DE779A"/>
    <w:rsid w:val="00DE7B9F"/>
    <w:rsid w:val="00DF12F7"/>
    <w:rsid w:val="00DF1F2B"/>
    <w:rsid w:val="00DF5F43"/>
    <w:rsid w:val="00DF69ED"/>
    <w:rsid w:val="00E01163"/>
    <w:rsid w:val="00E02C81"/>
    <w:rsid w:val="00E04FFD"/>
    <w:rsid w:val="00E0678D"/>
    <w:rsid w:val="00E10321"/>
    <w:rsid w:val="00E11495"/>
    <w:rsid w:val="00E130AB"/>
    <w:rsid w:val="00E134E2"/>
    <w:rsid w:val="00E144A3"/>
    <w:rsid w:val="00E158F7"/>
    <w:rsid w:val="00E208C8"/>
    <w:rsid w:val="00E23842"/>
    <w:rsid w:val="00E23D60"/>
    <w:rsid w:val="00E264E8"/>
    <w:rsid w:val="00E27961"/>
    <w:rsid w:val="00E27C22"/>
    <w:rsid w:val="00E4080E"/>
    <w:rsid w:val="00E40F25"/>
    <w:rsid w:val="00E436B1"/>
    <w:rsid w:val="00E43919"/>
    <w:rsid w:val="00E52030"/>
    <w:rsid w:val="00E5203C"/>
    <w:rsid w:val="00E551AF"/>
    <w:rsid w:val="00E55FE5"/>
    <w:rsid w:val="00E57021"/>
    <w:rsid w:val="00E57B93"/>
    <w:rsid w:val="00E61738"/>
    <w:rsid w:val="00E62C9D"/>
    <w:rsid w:val="00E64CB1"/>
    <w:rsid w:val="00E7260F"/>
    <w:rsid w:val="00E73015"/>
    <w:rsid w:val="00E7325B"/>
    <w:rsid w:val="00E7514D"/>
    <w:rsid w:val="00E76B60"/>
    <w:rsid w:val="00E76ED5"/>
    <w:rsid w:val="00E82F77"/>
    <w:rsid w:val="00E85591"/>
    <w:rsid w:val="00E863E9"/>
    <w:rsid w:val="00E869C5"/>
    <w:rsid w:val="00E87921"/>
    <w:rsid w:val="00E905FF"/>
    <w:rsid w:val="00E91D69"/>
    <w:rsid w:val="00E935FF"/>
    <w:rsid w:val="00E96513"/>
    <w:rsid w:val="00E96630"/>
    <w:rsid w:val="00EA0DBA"/>
    <w:rsid w:val="00EB04C9"/>
    <w:rsid w:val="00EC13F9"/>
    <w:rsid w:val="00EC243C"/>
    <w:rsid w:val="00EC4F17"/>
    <w:rsid w:val="00EC5AEB"/>
    <w:rsid w:val="00EC7926"/>
    <w:rsid w:val="00ED3B64"/>
    <w:rsid w:val="00ED7346"/>
    <w:rsid w:val="00ED7A2A"/>
    <w:rsid w:val="00EE13E7"/>
    <w:rsid w:val="00EE2239"/>
    <w:rsid w:val="00EE365A"/>
    <w:rsid w:val="00EE7280"/>
    <w:rsid w:val="00EF1D7F"/>
    <w:rsid w:val="00EF215B"/>
    <w:rsid w:val="00EF49A8"/>
    <w:rsid w:val="00EF4F48"/>
    <w:rsid w:val="00EF78A0"/>
    <w:rsid w:val="00EF78FB"/>
    <w:rsid w:val="00F037E9"/>
    <w:rsid w:val="00F11E92"/>
    <w:rsid w:val="00F126D8"/>
    <w:rsid w:val="00F132D4"/>
    <w:rsid w:val="00F15336"/>
    <w:rsid w:val="00F1616A"/>
    <w:rsid w:val="00F1658A"/>
    <w:rsid w:val="00F17FE6"/>
    <w:rsid w:val="00F34F8C"/>
    <w:rsid w:val="00F410F5"/>
    <w:rsid w:val="00F45C14"/>
    <w:rsid w:val="00F5071B"/>
    <w:rsid w:val="00F53310"/>
    <w:rsid w:val="00F53EDA"/>
    <w:rsid w:val="00F55F51"/>
    <w:rsid w:val="00F56438"/>
    <w:rsid w:val="00F61A5F"/>
    <w:rsid w:val="00F622DB"/>
    <w:rsid w:val="00F644DF"/>
    <w:rsid w:val="00F66DA1"/>
    <w:rsid w:val="00F71415"/>
    <w:rsid w:val="00F71A14"/>
    <w:rsid w:val="00F71DC7"/>
    <w:rsid w:val="00F71E41"/>
    <w:rsid w:val="00F7573A"/>
    <w:rsid w:val="00F769E8"/>
    <w:rsid w:val="00F7753D"/>
    <w:rsid w:val="00F8459A"/>
    <w:rsid w:val="00F85F34"/>
    <w:rsid w:val="00F87065"/>
    <w:rsid w:val="00F9054F"/>
    <w:rsid w:val="00F93ECA"/>
    <w:rsid w:val="00F96B49"/>
    <w:rsid w:val="00FA06F7"/>
    <w:rsid w:val="00FA34E3"/>
    <w:rsid w:val="00FA732C"/>
    <w:rsid w:val="00FB1138"/>
    <w:rsid w:val="00FB171A"/>
    <w:rsid w:val="00FB2C1E"/>
    <w:rsid w:val="00FB6EFF"/>
    <w:rsid w:val="00FB7C21"/>
    <w:rsid w:val="00FB7C81"/>
    <w:rsid w:val="00FC0DB9"/>
    <w:rsid w:val="00FC103E"/>
    <w:rsid w:val="00FC3B51"/>
    <w:rsid w:val="00FC569B"/>
    <w:rsid w:val="00FC5B50"/>
    <w:rsid w:val="00FC68B7"/>
    <w:rsid w:val="00FC6C56"/>
    <w:rsid w:val="00FD2B55"/>
    <w:rsid w:val="00FD54F9"/>
    <w:rsid w:val="00FD736D"/>
    <w:rsid w:val="00FD7BF6"/>
    <w:rsid w:val="00FF1B15"/>
    <w:rsid w:val="00FF4FB8"/>
    <w:rsid w:val="00FF67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fillcolor="white">
      <v:fill color="white"/>
    </o:shapedefaults>
    <o:shapelayout v:ext="edit">
      <o:idmap v:ext="edit" data="1"/>
    </o:shapelayout>
  </w:shapeDefaults>
  <w:decimalSymbol w:val="."/>
  <w:listSeparator w:val=","/>
  <w14:docId w14:val="6654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callout,Footnote Refernece,Footnote Reference Number,Fußnotenzeichen_Raxen,BVI fnr,Fago Fußnotenzeichen,Footnotes refss,Footnote Ref,16 Point,Superscript 6 Point,Ref,de nota al pie,Footnote,ftref,Footnote symbol,Footnote text"/>
    <w:link w:val="4GCharCharCharCharCharChar"/>
    <w:uiPriority w:val="99"/>
    <w:qFormat/>
    <w:rsid w:val="007B6BA5"/>
    <w:rPr>
      <w:rFonts w:ascii="Times New Roman" w:hAnsi="Times New Roman"/>
      <w:sz w:val="18"/>
      <w:vertAlign w:val="superscript"/>
    </w:rPr>
  </w:style>
  <w:style w:type="paragraph" w:styleId="FootnoteText">
    <w:name w:val="footnote text"/>
    <w:aliases w:val="5_G,Car Car,Fago Fußnotentext Char Char,Fago Fußnotentext Char Car Car,Fago Fußnotentext Char Car,Fago Footnotes Char Car Car,Fago Footnotes Char Car Car Car Car,Fago Footnotes Char Car Car Car Car Car Car Ca Car,Fago Fußnotentext"/>
    <w:basedOn w:val="Normal"/>
    <w:link w:val="FootnoteTextChar"/>
    <w:uiPriority w:val="99"/>
    <w:qFormat/>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paragraph" w:styleId="ListParagraph">
    <w:name w:val="List Paragraph"/>
    <w:basedOn w:val="Normal"/>
    <w:uiPriority w:val="34"/>
    <w:qFormat/>
    <w:rsid w:val="000413F2"/>
    <w:pPr>
      <w:suppressAutoHyphens w:val="0"/>
      <w:spacing w:after="200" w:line="276" w:lineRule="auto"/>
      <w:ind w:leftChars="400" w:left="800"/>
    </w:pPr>
    <w:rPr>
      <w:rFonts w:ascii="Calibri" w:hAnsi="Calibri"/>
      <w:sz w:val="22"/>
      <w:szCs w:val="22"/>
      <w:lang w:eastAsia="ko-KR"/>
    </w:rPr>
  </w:style>
  <w:style w:type="character" w:customStyle="1" w:styleId="FootnoteTextChar">
    <w:name w:val="Footnote Text Char"/>
    <w:aliases w:val="5_G Char,Car Car Char,Fago Fußnotentext Char Char Char,Fago Fußnotentext Char Car Car Char,Fago Fußnotentext Char Car Char,Fago Footnotes Char Car Car Char,Fago Footnotes Char Car Car Car Car Char,Fago Fußnotentext Char"/>
    <w:link w:val="FootnoteText"/>
    <w:uiPriority w:val="99"/>
    <w:rsid w:val="00C1000D"/>
    <w:rPr>
      <w:sz w:val="18"/>
      <w:lang w:eastAsia="en-US"/>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C1000D"/>
    <w:pPr>
      <w:suppressAutoHyphens w:val="0"/>
      <w:spacing w:after="160" w:line="240" w:lineRule="exact"/>
      <w:jc w:val="both"/>
    </w:pPr>
    <w:rPr>
      <w:sz w:val="18"/>
      <w:vertAlign w:val="superscript"/>
      <w:lang w:eastAsia="ko-KR"/>
    </w:rPr>
  </w:style>
  <w:style w:type="character" w:customStyle="1" w:styleId="apple-converted-space">
    <w:name w:val="apple-converted-space"/>
    <w:rsid w:val="008272F4"/>
  </w:style>
  <w:style w:type="character" w:customStyle="1" w:styleId="highlight">
    <w:name w:val="highlight"/>
    <w:rsid w:val="0033641B"/>
  </w:style>
  <w:style w:type="paragraph" w:styleId="CommentSubject">
    <w:name w:val="annotation subject"/>
    <w:basedOn w:val="CommentText"/>
    <w:next w:val="CommentText"/>
    <w:link w:val="CommentSubjectChar"/>
    <w:rsid w:val="00BB078D"/>
    <w:pPr>
      <w:spacing w:line="240" w:lineRule="auto"/>
    </w:pPr>
    <w:rPr>
      <w:b/>
      <w:bCs/>
    </w:rPr>
  </w:style>
  <w:style w:type="character" w:customStyle="1" w:styleId="CommentTextChar">
    <w:name w:val="Comment Text Char"/>
    <w:basedOn w:val="DefaultParagraphFont"/>
    <w:link w:val="CommentText"/>
    <w:semiHidden/>
    <w:rsid w:val="00BB078D"/>
    <w:rPr>
      <w:lang w:val="en-GB" w:eastAsia="en-US"/>
    </w:rPr>
  </w:style>
  <w:style w:type="character" w:customStyle="1" w:styleId="CommentSubjectChar">
    <w:name w:val="Comment Subject Char"/>
    <w:basedOn w:val="CommentTextChar"/>
    <w:link w:val="CommentSubject"/>
    <w:rsid w:val="00BB078D"/>
    <w:rPr>
      <w:b/>
      <w:bCs/>
      <w:lang w:val="en-GB" w:eastAsia="en-US"/>
    </w:rPr>
  </w:style>
  <w:style w:type="paragraph" w:styleId="Revision">
    <w:name w:val="Revision"/>
    <w:hidden/>
    <w:uiPriority w:val="99"/>
    <w:semiHidden/>
    <w:rsid w:val="00E57B93"/>
    <w:rPr>
      <w:lang w:val="en-GB" w:eastAsia="en-US"/>
    </w:rPr>
  </w:style>
  <w:style w:type="character" w:customStyle="1" w:styleId="HeaderChar">
    <w:name w:val="Header Char"/>
    <w:aliases w:val="6_G Char"/>
    <w:basedOn w:val="DefaultParagraphFont"/>
    <w:link w:val="Header"/>
    <w:locked/>
    <w:rsid w:val="006C249E"/>
    <w:rPr>
      <w:b/>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callout,Footnote Refernece,Footnote Reference Number,Fußnotenzeichen_Raxen,BVI fnr,Fago Fußnotenzeichen,Footnotes refss,Footnote Ref,16 Point,Superscript 6 Point,Ref,de nota al pie,Footnote,ftref,Footnote symbol,Footnote text"/>
    <w:link w:val="4GCharCharCharCharCharChar"/>
    <w:uiPriority w:val="99"/>
    <w:qFormat/>
    <w:rsid w:val="007B6BA5"/>
    <w:rPr>
      <w:rFonts w:ascii="Times New Roman" w:hAnsi="Times New Roman"/>
      <w:sz w:val="18"/>
      <w:vertAlign w:val="superscript"/>
    </w:rPr>
  </w:style>
  <w:style w:type="paragraph" w:styleId="FootnoteText">
    <w:name w:val="footnote text"/>
    <w:aliases w:val="5_G,Car Car,Fago Fußnotentext Char Char,Fago Fußnotentext Char Car Car,Fago Fußnotentext Char Car,Fago Footnotes Char Car Car,Fago Footnotes Char Car Car Car Car,Fago Footnotes Char Car Car Car Car Car Car Ca Car,Fago Fußnotentext"/>
    <w:basedOn w:val="Normal"/>
    <w:link w:val="FootnoteTextChar"/>
    <w:uiPriority w:val="99"/>
    <w:qFormat/>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paragraph" w:styleId="ListParagraph">
    <w:name w:val="List Paragraph"/>
    <w:basedOn w:val="Normal"/>
    <w:uiPriority w:val="34"/>
    <w:qFormat/>
    <w:rsid w:val="000413F2"/>
    <w:pPr>
      <w:suppressAutoHyphens w:val="0"/>
      <w:spacing w:after="200" w:line="276" w:lineRule="auto"/>
      <w:ind w:leftChars="400" w:left="800"/>
    </w:pPr>
    <w:rPr>
      <w:rFonts w:ascii="Calibri" w:hAnsi="Calibri"/>
      <w:sz w:val="22"/>
      <w:szCs w:val="22"/>
      <w:lang w:eastAsia="ko-KR"/>
    </w:rPr>
  </w:style>
  <w:style w:type="character" w:customStyle="1" w:styleId="FootnoteTextChar">
    <w:name w:val="Footnote Text Char"/>
    <w:aliases w:val="5_G Char,Car Car Char,Fago Fußnotentext Char Char Char,Fago Fußnotentext Char Car Car Char,Fago Fußnotentext Char Car Char,Fago Footnotes Char Car Car Char,Fago Footnotes Char Car Car Car Car Char,Fago Fußnotentext Char"/>
    <w:link w:val="FootnoteText"/>
    <w:uiPriority w:val="99"/>
    <w:rsid w:val="00C1000D"/>
    <w:rPr>
      <w:sz w:val="18"/>
      <w:lang w:eastAsia="en-US"/>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C1000D"/>
    <w:pPr>
      <w:suppressAutoHyphens w:val="0"/>
      <w:spacing w:after="160" w:line="240" w:lineRule="exact"/>
      <w:jc w:val="both"/>
    </w:pPr>
    <w:rPr>
      <w:sz w:val="18"/>
      <w:vertAlign w:val="superscript"/>
      <w:lang w:eastAsia="ko-KR"/>
    </w:rPr>
  </w:style>
  <w:style w:type="character" w:customStyle="1" w:styleId="apple-converted-space">
    <w:name w:val="apple-converted-space"/>
    <w:rsid w:val="008272F4"/>
  </w:style>
  <w:style w:type="character" w:customStyle="1" w:styleId="highlight">
    <w:name w:val="highlight"/>
    <w:rsid w:val="0033641B"/>
  </w:style>
  <w:style w:type="paragraph" w:styleId="CommentSubject">
    <w:name w:val="annotation subject"/>
    <w:basedOn w:val="CommentText"/>
    <w:next w:val="CommentText"/>
    <w:link w:val="CommentSubjectChar"/>
    <w:rsid w:val="00BB078D"/>
    <w:pPr>
      <w:spacing w:line="240" w:lineRule="auto"/>
    </w:pPr>
    <w:rPr>
      <w:b/>
      <w:bCs/>
    </w:rPr>
  </w:style>
  <w:style w:type="character" w:customStyle="1" w:styleId="CommentTextChar">
    <w:name w:val="Comment Text Char"/>
    <w:basedOn w:val="DefaultParagraphFont"/>
    <w:link w:val="CommentText"/>
    <w:semiHidden/>
    <w:rsid w:val="00BB078D"/>
    <w:rPr>
      <w:lang w:val="en-GB" w:eastAsia="en-US"/>
    </w:rPr>
  </w:style>
  <w:style w:type="character" w:customStyle="1" w:styleId="CommentSubjectChar">
    <w:name w:val="Comment Subject Char"/>
    <w:basedOn w:val="CommentTextChar"/>
    <w:link w:val="CommentSubject"/>
    <w:rsid w:val="00BB078D"/>
    <w:rPr>
      <w:b/>
      <w:bCs/>
      <w:lang w:val="en-GB" w:eastAsia="en-US"/>
    </w:rPr>
  </w:style>
  <w:style w:type="paragraph" w:styleId="Revision">
    <w:name w:val="Revision"/>
    <w:hidden/>
    <w:uiPriority w:val="99"/>
    <w:semiHidden/>
    <w:rsid w:val="00E57B93"/>
    <w:rPr>
      <w:lang w:val="en-GB" w:eastAsia="en-US"/>
    </w:rPr>
  </w:style>
  <w:style w:type="character" w:customStyle="1" w:styleId="HeaderChar">
    <w:name w:val="Header Char"/>
    <w:aliases w:val="6_G Char"/>
    <w:basedOn w:val="DefaultParagraphFont"/>
    <w:link w:val="Header"/>
    <w:locked/>
    <w:rsid w:val="006C249E"/>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1274">
      <w:bodyDiv w:val="1"/>
      <w:marLeft w:val="0"/>
      <w:marRight w:val="0"/>
      <w:marTop w:val="0"/>
      <w:marBottom w:val="0"/>
      <w:divBdr>
        <w:top w:val="none" w:sz="0" w:space="0" w:color="auto"/>
        <w:left w:val="none" w:sz="0" w:space="0" w:color="auto"/>
        <w:bottom w:val="none" w:sz="0" w:space="0" w:color="auto"/>
        <w:right w:val="none" w:sz="0" w:space="0" w:color="auto"/>
      </w:divBdr>
      <w:divsChild>
        <w:div w:id="425620430">
          <w:marLeft w:val="0"/>
          <w:marRight w:val="0"/>
          <w:marTop w:val="0"/>
          <w:marBottom w:val="0"/>
          <w:divBdr>
            <w:top w:val="none" w:sz="0" w:space="0" w:color="auto"/>
            <w:left w:val="none" w:sz="0" w:space="0" w:color="auto"/>
            <w:bottom w:val="none" w:sz="0" w:space="0" w:color="auto"/>
            <w:right w:val="none" w:sz="0" w:space="0" w:color="auto"/>
          </w:divBdr>
        </w:div>
        <w:div w:id="720863115">
          <w:marLeft w:val="0"/>
          <w:marRight w:val="0"/>
          <w:marTop w:val="0"/>
          <w:marBottom w:val="0"/>
          <w:divBdr>
            <w:top w:val="none" w:sz="0" w:space="0" w:color="auto"/>
            <w:left w:val="none" w:sz="0" w:space="0" w:color="auto"/>
            <w:bottom w:val="none" w:sz="0" w:space="0" w:color="auto"/>
            <w:right w:val="none" w:sz="0" w:space="0" w:color="auto"/>
          </w:divBdr>
        </w:div>
        <w:div w:id="826166084">
          <w:marLeft w:val="0"/>
          <w:marRight w:val="0"/>
          <w:marTop w:val="0"/>
          <w:marBottom w:val="0"/>
          <w:divBdr>
            <w:top w:val="none" w:sz="0" w:space="0" w:color="auto"/>
            <w:left w:val="none" w:sz="0" w:space="0" w:color="auto"/>
            <w:bottom w:val="none" w:sz="0" w:space="0" w:color="auto"/>
            <w:right w:val="none" w:sz="0" w:space="0" w:color="auto"/>
          </w:divBdr>
        </w:div>
        <w:div w:id="1402362449">
          <w:marLeft w:val="0"/>
          <w:marRight w:val="0"/>
          <w:marTop w:val="0"/>
          <w:marBottom w:val="0"/>
          <w:divBdr>
            <w:top w:val="none" w:sz="0" w:space="0" w:color="auto"/>
            <w:left w:val="none" w:sz="0" w:space="0" w:color="auto"/>
            <w:bottom w:val="none" w:sz="0" w:space="0" w:color="auto"/>
            <w:right w:val="none" w:sz="0" w:space="0" w:color="auto"/>
          </w:divBdr>
        </w:div>
        <w:div w:id="2081948662">
          <w:marLeft w:val="0"/>
          <w:marRight w:val="0"/>
          <w:marTop w:val="0"/>
          <w:marBottom w:val="0"/>
          <w:divBdr>
            <w:top w:val="none" w:sz="0" w:space="0" w:color="auto"/>
            <w:left w:val="none" w:sz="0" w:space="0" w:color="auto"/>
            <w:bottom w:val="none" w:sz="0" w:space="0" w:color="auto"/>
            <w:right w:val="none" w:sz="0" w:space="0" w:color="auto"/>
          </w:divBdr>
        </w:div>
        <w:div w:id="2089812916">
          <w:marLeft w:val="0"/>
          <w:marRight w:val="0"/>
          <w:marTop w:val="0"/>
          <w:marBottom w:val="0"/>
          <w:divBdr>
            <w:top w:val="none" w:sz="0" w:space="0" w:color="auto"/>
            <w:left w:val="none" w:sz="0" w:space="0" w:color="auto"/>
            <w:bottom w:val="none" w:sz="0" w:space="0" w:color="auto"/>
            <w:right w:val="none" w:sz="0" w:space="0" w:color="auto"/>
          </w:divBdr>
        </w:div>
      </w:divsChild>
    </w:div>
    <w:div w:id="383219614">
      <w:bodyDiv w:val="1"/>
      <w:marLeft w:val="0"/>
      <w:marRight w:val="0"/>
      <w:marTop w:val="0"/>
      <w:marBottom w:val="0"/>
      <w:divBdr>
        <w:top w:val="none" w:sz="0" w:space="0" w:color="auto"/>
        <w:left w:val="none" w:sz="0" w:space="0" w:color="auto"/>
        <w:bottom w:val="none" w:sz="0" w:space="0" w:color="auto"/>
        <w:right w:val="none" w:sz="0" w:space="0" w:color="auto"/>
      </w:divBdr>
    </w:div>
    <w:div w:id="830679527">
      <w:bodyDiv w:val="1"/>
      <w:marLeft w:val="0"/>
      <w:marRight w:val="0"/>
      <w:marTop w:val="0"/>
      <w:marBottom w:val="0"/>
      <w:divBdr>
        <w:top w:val="none" w:sz="0" w:space="0" w:color="auto"/>
        <w:left w:val="none" w:sz="0" w:space="0" w:color="auto"/>
        <w:bottom w:val="none" w:sz="0" w:space="0" w:color="auto"/>
        <w:right w:val="none" w:sz="0" w:space="0" w:color="auto"/>
      </w:divBdr>
    </w:div>
    <w:div w:id="1017266440">
      <w:bodyDiv w:val="1"/>
      <w:marLeft w:val="0"/>
      <w:marRight w:val="0"/>
      <w:marTop w:val="0"/>
      <w:marBottom w:val="0"/>
      <w:divBdr>
        <w:top w:val="none" w:sz="0" w:space="0" w:color="auto"/>
        <w:left w:val="none" w:sz="0" w:space="0" w:color="auto"/>
        <w:bottom w:val="none" w:sz="0" w:space="0" w:color="auto"/>
        <w:right w:val="none" w:sz="0" w:space="0" w:color="auto"/>
      </w:divBdr>
      <w:divsChild>
        <w:div w:id="248775573">
          <w:marLeft w:val="0"/>
          <w:marRight w:val="0"/>
          <w:marTop w:val="0"/>
          <w:marBottom w:val="0"/>
          <w:divBdr>
            <w:top w:val="none" w:sz="0" w:space="0" w:color="auto"/>
            <w:left w:val="none" w:sz="0" w:space="0" w:color="auto"/>
            <w:bottom w:val="none" w:sz="0" w:space="0" w:color="auto"/>
            <w:right w:val="none" w:sz="0" w:space="0" w:color="auto"/>
          </w:divBdr>
        </w:div>
        <w:div w:id="706182965">
          <w:marLeft w:val="0"/>
          <w:marRight w:val="0"/>
          <w:marTop w:val="0"/>
          <w:marBottom w:val="0"/>
          <w:divBdr>
            <w:top w:val="none" w:sz="0" w:space="0" w:color="auto"/>
            <w:left w:val="none" w:sz="0" w:space="0" w:color="auto"/>
            <w:bottom w:val="none" w:sz="0" w:space="0" w:color="auto"/>
            <w:right w:val="none" w:sz="0" w:space="0" w:color="auto"/>
          </w:divBdr>
        </w:div>
        <w:div w:id="1005402093">
          <w:marLeft w:val="0"/>
          <w:marRight w:val="0"/>
          <w:marTop w:val="0"/>
          <w:marBottom w:val="0"/>
          <w:divBdr>
            <w:top w:val="none" w:sz="0" w:space="0" w:color="auto"/>
            <w:left w:val="none" w:sz="0" w:space="0" w:color="auto"/>
            <w:bottom w:val="none" w:sz="0" w:space="0" w:color="auto"/>
            <w:right w:val="none" w:sz="0" w:space="0" w:color="auto"/>
          </w:divBdr>
        </w:div>
        <w:div w:id="1125929705">
          <w:marLeft w:val="0"/>
          <w:marRight w:val="0"/>
          <w:marTop w:val="0"/>
          <w:marBottom w:val="0"/>
          <w:divBdr>
            <w:top w:val="none" w:sz="0" w:space="0" w:color="auto"/>
            <w:left w:val="none" w:sz="0" w:space="0" w:color="auto"/>
            <w:bottom w:val="none" w:sz="0" w:space="0" w:color="auto"/>
            <w:right w:val="none" w:sz="0" w:space="0" w:color="auto"/>
          </w:divBdr>
        </w:div>
        <w:div w:id="1234777490">
          <w:marLeft w:val="0"/>
          <w:marRight w:val="0"/>
          <w:marTop w:val="0"/>
          <w:marBottom w:val="0"/>
          <w:divBdr>
            <w:top w:val="none" w:sz="0" w:space="0" w:color="auto"/>
            <w:left w:val="none" w:sz="0" w:space="0" w:color="auto"/>
            <w:bottom w:val="none" w:sz="0" w:space="0" w:color="auto"/>
            <w:right w:val="none" w:sz="0" w:space="0" w:color="auto"/>
          </w:divBdr>
        </w:div>
        <w:div w:id="1809783027">
          <w:marLeft w:val="0"/>
          <w:marRight w:val="0"/>
          <w:marTop w:val="0"/>
          <w:marBottom w:val="0"/>
          <w:divBdr>
            <w:top w:val="none" w:sz="0" w:space="0" w:color="auto"/>
            <w:left w:val="none" w:sz="0" w:space="0" w:color="auto"/>
            <w:bottom w:val="none" w:sz="0" w:space="0" w:color="auto"/>
            <w:right w:val="none" w:sz="0" w:space="0" w:color="auto"/>
          </w:divBdr>
        </w:div>
      </w:divsChild>
    </w:div>
    <w:div w:id="1169371634">
      <w:bodyDiv w:val="1"/>
      <w:marLeft w:val="0"/>
      <w:marRight w:val="0"/>
      <w:marTop w:val="0"/>
      <w:marBottom w:val="0"/>
      <w:divBdr>
        <w:top w:val="none" w:sz="0" w:space="0" w:color="auto"/>
        <w:left w:val="none" w:sz="0" w:space="0" w:color="auto"/>
        <w:bottom w:val="none" w:sz="0" w:space="0" w:color="auto"/>
        <w:right w:val="none" w:sz="0" w:space="0" w:color="auto"/>
      </w:divBdr>
    </w:div>
    <w:div w:id="1602109559">
      <w:bodyDiv w:val="1"/>
      <w:marLeft w:val="0"/>
      <w:marRight w:val="0"/>
      <w:marTop w:val="0"/>
      <w:marBottom w:val="0"/>
      <w:divBdr>
        <w:top w:val="none" w:sz="0" w:space="0" w:color="auto"/>
        <w:left w:val="none" w:sz="0" w:space="0" w:color="auto"/>
        <w:bottom w:val="none" w:sz="0" w:space="0" w:color="auto"/>
        <w:right w:val="none" w:sz="0" w:space="0" w:color="auto"/>
      </w:divBdr>
      <w:divsChild>
        <w:div w:id="305548412">
          <w:marLeft w:val="0"/>
          <w:marRight w:val="0"/>
          <w:marTop w:val="0"/>
          <w:marBottom w:val="0"/>
          <w:divBdr>
            <w:top w:val="none" w:sz="0" w:space="0" w:color="auto"/>
            <w:left w:val="none" w:sz="0" w:space="0" w:color="auto"/>
            <w:bottom w:val="none" w:sz="0" w:space="0" w:color="auto"/>
            <w:right w:val="none" w:sz="0" w:space="0" w:color="auto"/>
          </w:divBdr>
        </w:div>
      </w:divsChild>
    </w:div>
    <w:div w:id="1757942687">
      <w:bodyDiv w:val="1"/>
      <w:marLeft w:val="0"/>
      <w:marRight w:val="0"/>
      <w:marTop w:val="0"/>
      <w:marBottom w:val="0"/>
      <w:divBdr>
        <w:top w:val="none" w:sz="0" w:space="0" w:color="auto"/>
        <w:left w:val="none" w:sz="0" w:space="0" w:color="auto"/>
        <w:bottom w:val="none" w:sz="0" w:space="0" w:color="auto"/>
        <w:right w:val="none" w:sz="0" w:space="0" w:color="auto"/>
      </w:divBdr>
    </w:div>
    <w:div w:id="1779181976">
      <w:bodyDiv w:val="1"/>
      <w:marLeft w:val="0"/>
      <w:marRight w:val="0"/>
      <w:marTop w:val="0"/>
      <w:marBottom w:val="0"/>
      <w:divBdr>
        <w:top w:val="none" w:sz="0" w:space="0" w:color="auto"/>
        <w:left w:val="none" w:sz="0" w:space="0" w:color="auto"/>
        <w:bottom w:val="none" w:sz="0" w:space="0" w:color="auto"/>
        <w:right w:val="none" w:sz="0" w:space="0" w:color="auto"/>
      </w:divBdr>
    </w:div>
    <w:div w:id="1796605261">
      <w:bodyDiv w:val="1"/>
      <w:marLeft w:val="0"/>
      <w:marRight w:val="0"/>
      <w:marTop w:val="0"/>
      <w:marBottom w:val="0"/>
      <w:divBdr>
        <w:top w:val="none" w:sz="0" w:space="0" w:color="auto"/>
        <w:left w:val="none" w:sz="0" w:space="0" w:color="auto"/>
        <w:bottom w:val="none" w:sz="0" w:space="0" w:color="auto"/>
        <w:right w:val="none" w:sz="0" w:space="0" w:color="auto"/>
      </w:divBdr>
    </w:div>
    <w:div w:id="2053729467">
      <w:bodyDiv w:val="1"/>
      <w:marLeft w:val="0"/>
      <w:marRight w:val="0"/>
      <w:marTop w:val="0"/>
      <w:marBottom w:val="0"/>
      <w:divBdr>
        <w:top w:val="none" w:sz="0" w:space="0" w:color="auto"/>
        <w:left w:val="none" w:sz="0" w:space="0" w:color="auto"/>
        <w:bottom w:val="none" w:sz="0" w:space="0" w:color="auto"/>
        <w:right w:val="none" w:sz="0" w:space="0" w:color="auto"/>
      </w:divBdr>
      <w:divsChild>
        <w:div w:id="190560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25D2-0D16-465B-972E-F1705A16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5577</Words>
  <Characters>30660</Characters>
  <Application>Microsoft Office Word</Application>
  <DocSecurity>0</DocSecurity>
  <Lines>497</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1610235</vt:lpstr>
      <vt:lpstr>1043830</vt:lpstr>
    </vt:vector>
  </TitlesOfParts>
  <Company>CSD</Company>
  <LinksUpToDate>false</LinksUpToDate>
  <CharactersWithSpaces>36158</CharactersWithSpaces>
  <SharedDoc>false</SharedDoc>
  <HLinks>
    <vt:vector size="12" baseType="variant">
      <vt:variant>
        <vt:i4>5701638</vt:i4>
      </vt:variant>
      <vt:variant>
        <vt:i4>3</vt:i4>
      </vt:variant>
      <vt:variant>
        <vt:i4>0</vt:i4>
      </vt:variant>
      <vt:variant>
        <vt:i4>5</vt:i4>
      </vt:variant>
      <vt:variant>
        <vt:lpwstr>http://www.ilo.org/dyn/normlex/en/f?p=1000:13100:0::NO:13100:P13100_COMMENT_ID,P11110_COUNTRY_ID,P11110_COUNTRY_NAME,P11110_COMMENT_YEAR:3143429,103555,The%20former%20Yugoslav%20Republic%20of%20Macedonia,2013</vt:lpwstr>
      </vt:variant>
      <vt:variant>
        <vt:lpwstr/>
      </vt:variant>
      <vt:variant>
        <vt:i4>6160397</vt:i4>
      </vt:variant>
      <vt:variant>
        <vt:i4>0</vt:i4>
      </vt:variant>
      <vt:variant>
        <vt:i4>0</vt:i4>
      </vt:variant>
      <vt:variant>
        <vt:i4>5</vt:i4>
      </vt:variant>
      <vt:variant>
        <vt:lpwstr>http://www.ilo.org/dyn/normlex/en/f?p=1000:13100:0::NO:13100:P13100_COMMENT_ID,P11110_COUNTRY_ID,P11110_COUNTRY_NAME,P11110_COMMENT_YEAR:3148622,103555,The%20former%20Yugoslav%20Republic%20of%20Macedonia,2013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1612076</dc:title>
  <dc:subject>E/C.12/MKD/CO/2-4</dc:subject>
  <dc:creator>mtw</dc:creator>
  <cp:keywords/>
  <dc:description>final</dc:description>
  <cp:lastModifiedBy>pdfeng</cp:lastModifiedBy>
  <cp:revision>2</cp:revision>
  <cp:lastPrinted>2016-07-10T19:18:00Z</cp:lastPrinted>
  <dcterms:created xsi:type="dcterms:W3CDTF">2016-07-15T13:48:00Z</dcterms:created>
  <dcterms:modified xsi:type="dcterms:W3CDTF">2016-07-15T13:48:00Z</dcterms:modified>
</cp:coreProperties>
</file>