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D74FA5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D74FA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D74FA5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D74FA5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D74FA5">
                <w:t>C.12/CYP/CO/6</w:t>
              </w:r>
            </w:fldSimple>
            <w:r>
              <w:t xml:space="preserve">                  </w:t>
            </w:r>
          </w:p>
        </w:tc>
      </w:tr>
      <w:tr w:rsidR="0049372E" w:rsidRPr="00635870" w:rsidTr="00D74FA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D74FA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34BBFC" wp14:editId="261C9F9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D74FA5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D74FA5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D74FA5">
              <w:fldChar w:fldCharType="separate"/>
            </w:r>
            <w:r w:rsidRPr="00F827BA">
              <w:fldChar w:fldCharType="end"/>
            </w:r>
            <w:bookmarkEnd w:id="0"/>
          </w:p>
          <w:p w:rsidR="0049372E" w:rsidRPr="00F827BA" w:rsidRDefault="0049372E" w:rsidP="00D74FA5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D74FA5">
              <w:rPr>
                <w:lang w:val="en-US"/>
              </w:rPr>
              <w:fldChar w:fldCharType="separate"/>
            </w:r>
            <w:r w:rsidR="00D74FA5">
              <w:rPr>
                <w:lang w:val="en-US"/>
              </w:rPr>
              <w:t>28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D74FA5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D74FA5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D74FA5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635870" w:rsidRDefault="0049372E" w:rsidP="00D74FA5"/>
        </w:tc>
      </w:tr>
    </w:tbl>
    <w:p w:rsidR="0049372E" w:rsidRPr="00D74FA5" w:rsidRDefault="00D74FA5" w:rsidP="00D74FA5">
      <w:pPr>
        <w:spacing w:before="120"/>
        <w:rPr>
          <w:b/>
          <w:sz w:val="24"/>
          <w:szCs w:val="24"/>
        </w:rPr>
      </w:pPr>
      <w:r w:rsidRPr="00D74FA5">
        <w:rPr>
          <w:b/>
          <w:sz w:val="24"/>
          <w:szCs w:val="24"/>
        </w:rPr>
        <w:t xml:space="preserve">Комитет по экономическим, социальным </w:t>
      </w:r>
      <w:r w:rsidRPr="00D74FA5">
        <w:rPr>
          <w:b/>
          <w:sz w:val="24"/>
          <w:szCs w:val="24"/>
        </w:rPr>
        <w:br/>
        <w:t>и культурным правам</w:t>
      </w:r>
    </w:p>
    <w:p w:rsidR="00760D3A" w:rsidRPr="00D74FA5" w:rsidRDefault="00D74FA5" w:rsidP="00D74FA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D74FA5">
        <w:t>Заключительные замечания по шестому периодическому докладу Кипра</w:t>
      </w:r>
      <w:r w:rsidRPr="00D74FA5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74FA5" w:rsidRPr="00D74FA5" w:rsidRDefault="00D74FA5" w:rsidP="00D74FA5">
      <w:pPr>
        <w:pStyle w:val="SingleTxtGR"/>
      </w:pPr>
      <w:r w:rsidRPr="00D74FA5">
        <w:t>1.</w:t>
      </w:r>
      <w:r w:rsidRPr="00D74FA5">
        <w:tab/>
      </w:r>
      <w:proofErr w:type="gramStart"/>
      <w:r w:rsidRPr="00D74FA5">
        <w:t>Комитет по экономическим, социальным и культурным правам рассмо</w:t>
      </w:r>
      <w:r w:rsidRPr="00D74FA5">
        <w:t>т</w:t>
      </w:r>
      <w:r w:rsidRPr="00D74FA5">
        <w:t>рел шестой периодический доклад Кипра об осуществлении Международного пакта об экономических, социальных и культурных правах (</w:t>
      </w:r>
      <w:r w:rsidRPr="00D74FA5">
        <w:rPr>
          <w:lang w:val="en-GB"/>
        </w:rPr>
        <w:t>E</w:t>
      </w:r>
      <w:r w:rsidRPr="00D74FA5">
        <w:t>/</w:t>
      </w:r>
      <w:r w:rsidRPr="00D74FA5">
        <w:rPr>
          <w:lang w:val="en-GB"/>
        </w:rPr>
        <w:t>C</w:t>
      </w:r>
      <w:r w:rsidRPr="00D74FA5">
        <w:t>.12/</w:t>
      </w:r>
      <w:r w:rsidRPr="00D74FA5">
        <w:rPr>
          <w:lang w:val="en-GB"/>
        </w:rPr>
        <w:t>CYP</w:t>
      </w:r>
      <w:r w:rsidRPr="00D74FA5">
        <w:t xml:space="preserve">/6) на своих 53-м и 54-м заседаниях (см. </w:t>
      </w:r>
      <w:r w:rsidRPr="00D74FA5">
        <w:rPr>
          <w:lang w:val="en-GB"/>
        </w:rPr>
        <w:t>E</w:t>
      </w:r>
      <w:r w:rsidRPr="00D74FA5">
        <w:t>/</w:t>
      </w:r>
      <w:r w:rsidRPr="00D74FA5">
        <w:rPr>
          <w:lang w:val="en-GB"/>
        </w:rPr>
        <w:t>C</w:t>
      </w:r>
      <w:r w:rsidRPr="00D74FA5">
        <w:t>.12/2016/</w:t>
      </w:r>
      <w:r w:rsidRPr="00D74FA5">
        <w:rPr>
          <w:lang w:val="en-GB"/>
        </w:rPr>
        <w:t>SR</w:t>
      </w:r>
      <w:r w:rsidR="0028168B">
        <w:t>.53 и 54), состоявшихся 20 и</w:t>
      </w:r>
      <w:r w:rsidR="0028168B" w:rsidRPr="0028168B">
        <w:t xml:space="preserve"> </w:t>
      </w:r>
      <w:r w:rsidRPr="00D74FA5">
        <w:t>21 сентября 2016</w:t>
      </w:r>
      <w:r w:rsidRPr="00D74FA5">
        <w:rPr>
          <w:lang w:val="en-US"/>
        </w:rPr>
        <w:t> </w:t>
      </w:r>
      <w:r w:rsidRPr="00D74FA5">
        <w:t>года, и на своем 78-м заседании, состоявшемся 7 октября 2016 года, принял</w:t>
      </w:r>
      <w:proofErr w:type="gramEnd"/>
      <w:r w:rsidRPr="00D74FA5">
        <w:t xml:space="preserve"> следующие заключительные замечания.</w:t>
      </w:r>
    </w:p>
    <w:p w:rsidR="00D74FA5" w:rsidRPr="00D74FA5" w:rsidRDefault="00D74FA5" w:rsidP="0028168B">
      <w:pPr>
        <w:pStyle w:val="H1GR"/>
      </w:pPr>
      <w:r w:rsidRPr="00D74FA5">
        <w:tab/>
      </w:r>
      <w:r w:rsidRPr="00D74FA5">
        <w:rPr>
          <w:lang w:val="en-GB"/>
        </w:rPr>
        <w:t>A</w:t>
      </w:r>
      <w:r w:rsidRPr="00D74FA5">
        <w:t>.</w:t>
      </w:r>
      <w:r w:rsidRPr="00D74FA5">
        <w:tab/>
        <w:t>Введение</w:t>
      </w:r>
    </w:p>
    <w:p w:rsidR="00D74FA5" w:rsidRPr="00D74FA5" w:rsidRDefault="00D74FA5" w:rsidP="00D74FA5">
      <w:pPr>
        <w:pStyle w:val="SingleTxtGR"/>
      </w:pPr>
      <w:r w:rsidRPr="00D74FA5">
        <w:t>2.</w:t>
      </w:r>
      <w:r w:rsidRPr="00D74FA5">
        <w:tab/>
        <w:t>Комитет приветствует представление шестого периодического доклада государства-участника и дополнительную информацию, предоставленную в о</w:t>
      </w:r>
      <w:r w:rsidRPr="00D74FA5">
        <w:t>т</w:t>
      </w:r>
      <w:r w:rsidRPr="00D74FA5">
        <w:t>ветах на перечень вопросов (</w:t>
      </w:r>
      <w:r w:rsidRPr="00D74FA5">
        <w:rPr>
          <w:lang w:val="en-GB"/>
        </w:rPr>
        <w:t>E</w:t>
      </w:r>
      <w:r w:rsidRPr="00D74FA5">
        <w:t>/</w:t>
      </w:r>
      <w:r w:rsidRPr="00D74FA5">
        <w:rPr>
          <w:lang w:val="en-GB"/>
        </w:rPr>
        <w:t>C</w:t>
      </w:r>
      <w:r w:rsidRPr="00D74FA5">
        <w:t>.12/</w:t>
      </w:r>
      <w:r w:rsidRPr="00D74FA5">
        <w:rPr>
          <w:lang w:val="en-GB"/>
        </w:rPr>
        <w:t>CYP</w:t>
      </w:r>
      <w:r w:rsidRPr="00D74FA5">
        <w:t>/</w:t>
      </w:r>
      <w:r w:rsidRPr="00D74FA5">
        <w:rPr>
          <w:lang w:val="en-GB"/>
        </w:rPr>
        <w:t>Q</w:t>
      </w:r>
      <w:r w:rsidRPr="00D74FA5">
        <w:t>/6/</w:t>
      </w:r>
      <w:r w:rsidRPr="00D74FA5">
        <w:rPr>
          <w:lang w:val="en-GB"/>
        </w:rPr>
        <w:t>Add</w:t>
      </w:r>
      <w:r w:rsidRPr="00D74FA5">
        <w:t>.1). Комитет выражает призн</w:t>
      </w:r>
      <w:r w:rsidRPr="00D74FA5">
        <w:t>а</w:t>
      </w:r>
      <w:r w:rsidRPr="00D74FA5">
        <w:t>тельность за конструктивный диалог, проведенный с делегацией высокого уровня государства-участника.</w:t>
      </w:r>
    </w:p>
    <w:p w:rsidR="00D74FA5" w:rsidRPr="00D74FA5" w:rsidRDefault="00D74FA5" w:rsidP="0028168B">
      <w:pPr>
        <w:pStyle w:val="H1GR"/>
      </w:pPr>
      <w:r w:rsidRPr="00D74FA5">
        <w:tab/>
      </w:r>
      <w:r w:rsidRPr="00D74FA5">
        <w:rPr>
          <w:lang w:val="en-GB"/>
        </w:rPr>
        <w:t>B</w:t>
      </w:r>
      <w:r w:rsidRPr="00D74FA5">
        <w:t>.</w:t>
      </w:r>
      <w:r w:rsidRPr="00D74FA5">
        <w:tab/>
        <w:t>Позитивные аспекты</w:t>
      </w:r>
    </w:p>
    <w:p w:rsidR="00D74FA5" w:rsidRPr="00D74FA5" w:rsidRDefault="00D74FA5" w:rsidP="00D74FA5">
      <w:pPr>
        <w:pStyle w:val="SingleTxtGR"/>
      </w:pPr>
      <w:r w:rsidRPr="00D74FA5">
        <w:t>3.</w:t>
      </w:r>
      <w:r w:rsidRPr="00D74FA5">
        <w:tab/>
        <w:t>Комитет приветствует принятие государством-участником следующих документов: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a</w:t>
      </w:r>
      <w:r w:rsidRPr="00D74FA5">
        <w:t>)</w:t>
      </w:r>
      <w:r w:rsidRPr="00D74FA5">
        <w:tab/>
        <w:t xml:space="preserve">Национальный план действий в области трудоустройства молодежи на </w:t>
      </w:r>
      <w:r w:rsidRPr="00D74FA5">
        <w:rPr>
          <w:rFonts w:hint="eastAsia"/>
        </w:rPr>
        <w:t>2015</w:t>
      </w:r>
      <w:r w:rsidRPr="00D74FA5">
        <w:t>–</w:t>
      </w:r>
      <w:r w:rsidRPr="00D74FA5">
        <w:rPr>
          <w:rFonts w:hint="eastAsia"/>
        </w:rPr>
        <w:t>2017</w:t>
      </w:r>
      <w:r w:rsidRPr="00D74FA5">
        <w:t> годы;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b</w:t>
      </w:r>
      <w:r w:rsidRPr="00D74FA5">
        <w:t>)</w:t>
      </w:r>
      <w:r w:rsidRPr="00D74FA5">
        <w:tab/>
        <w:t>Закон о минимальном гарантированном доходе и социальном обе</w:t>
      </w:r>
      <w:r w:rsidRPr="00D74FA5">
        <w:t>с</w:t>
      </w:r>
      <w:r w:rsidRPr="00D74FA5">
        <w:t>печении в целом, в 2014 году;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c</w:t>
      </w:r>
      <w:r w:rsidRPr="00D74FA5">
        <w:t>)</w:t>
      </w:r>
      <w:r w:rsidRPr="00D74FA5">
        <w:tab/>
        <w:t>Закон о получении мужчинами и женщинами равной оплаты за равный труд или труд равной ценности (поправка), в 2014 году;</w:t>
      </w:r>
    </w:p>
    <w:p w:rsidR="00D74FA5" w:rsidRPr="00D74FA5" w:rsidRDefault="00D74FA5" w:rsidP="00D74FA5">
      <w:pPr>
        <w:pStyle w:val="SingleTxtGR"/>
      </w:pPr>
      <w:r w:rsidRPr="00D74FA5">
        <w:lastRenderedPageBreak/>
        <w:tab/>
      </w:r>
      <w:r w:rsidRPr="00D74FA5">
        <w:rPr>
          <w:lang w:val="en-GB"/>
        </w:rPr>
        <w:t>d</w:t>
      </w:r>
      <w:r w:rsidRPr="00D74FA5">
        <w:t>)</w:t>
      </w:r>
      <w:r w:rsidRPr="00D74FA5">
        <w:tab/>
        <w:t>Национальный план действий в области гендерного равенства на 2014–2017 годы;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e</w:t>
      </w:r>
      <w:r w:rsidRPr="00D74FA5">
        <w:t>)</w:t>
      </w:r>
      <w:r w:rsidRPr="00D74FA5">
        <w:tab/>
        <w:t>Закон о гигиене труда и безопасности на рабочем месте (поправка), в 2011 году;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f</w:t>
      </w:r>
      <w:r w:rsidRPr="00D74FA5">
        <w:t>)</w:t>
      </w:r>
      <w:r w:rsidRPr="00D74FA5">
        <w:tab/>
        <w:t>Закон об охране материнства (поправка), в 2011 году;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g</w:t>
      </w:r>
      <w:r w:rsidRPr="00D74FA5">
        <w:t>)</w:t>
      </w:r>
      <w:r w:rsidRPr="00D74FA5">
        <w:tab/>
        <w:t>Закон об одинаковом обращении с мужчинами и женщинами в сф</w:t>
      </w:r>
      <w:r w:rsidRPr="00D74FA5">
        <w:t>е</w:t>
      </w:r>
      <w:r w:rsidRPr="00D74FA5">
        <w:t>ре трудоустройства и профессиональной подготовки (поправка), в 2009 году;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h</w:t>
      </w:r>
      <w:r w:rsidRPr="00D74FA5">
        <w:t>)</w:t>
      </w:r>
      <w:r w:rsidRPr="00D74FA5">
        <w:tab/>
        <w:t>Закон о найме инвалидов в широких масштабах государственного сектора (особые правила), в 2009</w:t>
      </w:r>
      <w:r w:rsidRPr="00D74FA5">
        <w:rPr>
          <w:lang w:val="en-US"/>
        </w:rPr>
        <w:t> </w:t>
      </w:r>
      <w:r w:rsidRPr="00D74FA5">
        <w:t>году.</w:t>
      </w:r>
    </w:p>
    <w:p w:rsidR="00D74FA5" w:rsidRPr="00D74FA5" w:rsidRDefault="00D74FA5" w:rsidP="00D74FA5">
      <w:pPr>
        <w:pStyle w:val="SingleTxtGR"/>
      </w:pPr>
      <w:r w:rsidRPr="00D74FA5">
        <w:t>4.</w:t>
      </w:r>
      <w:r w:rsidRPr="00D74FA5">
        <w:tab/>
        <w:t>Кроме того, Комитет приветствует ратификацию государством-участником следующих документов: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a</w:t>
      </w:r>
      <w:r w:rsidRPr="00D74FA5">
        <w:t>)</w:t>
      </w:r>
      <w:r w:rsidRPr="00D74FA5">
        <w:tab/>
        <w:t>Конвенция о правах инвалидов, в 2011</w:t>
      </w:r>
      <w:r w:rsidRPr="00D74FA5">
        <w:rPr>
          <w:lang w:val="en-US"/>
        </w:rPr>
        <w:t> </w:t>
      </w:r>
      <w:r w:rsidRPr="00D74FA5">
        <w:t xml:space="preserve">году; 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b</w:t>
      </w:r>
      <w:r w:rsidRPr="00D74FA5">
        <w:t>)</w:t>
      </w:r>
      <w:r w:rsidRPr="00D74FA5">
        <w:tab/>
        <w:t>Факультативный протокол к Конвенции о правах ребенка, каса</w:t>
      </w:r>
      <w:r w:rsidRPr="00D74FA5">
        <w:t>ю</w:t>
      </w:r>
      <w:r w:rsidRPr="00D74FA5">
        <w:t>щийся участия детей в вооруженных конфликтах, в 2010 году;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c</w:t>
      </w:r>
      <w:r w:rsidRPr="00D74FA5">
        <w:t>)</w:t>
      </w:r>
      <w:r w:rsidRPr="00D74FA5">
        <w:tab/>
        <w:t>Факультативный протокол к Конвенции против пыток и других ж</w:t>
      </w:r>
      <w:r w:rsidRPr="00D74FA5">
        <w:t>е</w:t>
      </w:r>
      <w:r w:rsidRPr="00D74FA5">
        <w:t>стоких, бесчеловечных или унижающих достоинство видов обращения и нак</w:t>
      </w:r>
      <w:r w:rsidRPr="00D74FA5">
        <w:t>а</w:t>
      </w:r>
      <w:r w:rsidRPr="00D74FA5">
        <w:t>зания, в 2009 году.</w:t>
      </w:r>
    </w:p>
    <w:p w:rsidR="00D74FA5" w:rsidRPr="00D74FA5" w:rsidRDefault="00D74FA5" w:rsidP="0028168B">
      <w:pPr>
        <w:pStyle w:val="H1GR"/>
      </w:pPr>
      <w:r w:rsidRPr="00D74FA5">
        <w:tab/>
      </w:r>
      <w:r w:rsidRPr="00D74FA5">
        <w:rPr>
          <w:lang w:val="en-GB"/>
        </w:rPr>
        <w:t>C</w:t>
      </w:r>
      <w:r w:rsidRPr="00D74FA5">
        <w:t>.</w:t>
      </w:r>
      <w:r w:rsidRPr="00D74FA5">
        <w:tab/>
        <w:t>Основные вопро</w:t>
      </w:r>
      <w:r w:rsidR="0028168B">
        <w:t>сы, вызывающие озабоченность, и</w:t>
      </w:r>
      <w:r w:rsidR="0028168B">
        <w:rPr>
          <w:lang w:val="en-US"/>
        </w:rPr>
        <w:t> </w:t>
      </w:r>
      <w:r w:rsidRPr="00D74FA5">
        <w:t>рекомендации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Применение Пакта во внутреннем праве</w:t>
      </w:r>
    </w:p>
    <w:p w:rsidR="00D74FA5" w:rsidRPr="00D74FA5" w:rsidRDefault="00D74FA5" w:rsidP="00D74FA5">
      <w:pPr>
        <w:pStyle w:val="SingleTxtGR"/>
      </w:pPr>
      <w:r w:rsidRPr="00D74FA5">
        <w:t>5.</w:t>
      </w:r>
      <w:r w:rsidRPr="00D74FA5">
        <w:tab/>
        <w:t>Комитет отмечает, что в соответствии с Конституцией Пакт превалирует над всем внутренним законодательством, и суды могут ссылаться на его пол</w:t>
      </w:r>
      <w:r w:rsidRPr="00D74FA5">
        <w:t>о</w:t>
      </w:r>
      <w:r w:rsidRPr="00D74FA5">
        <w:t>жения при проведении разбирательств, а также что имеются решения, вынесе</w:t>
      </w:r>
      <w:r w:rsidRPr="00D74FA5">
        <w:t>н</w:t>
      </w:r>
      <w:r w:rsidRPr="00D74FA5">
        <w:t xml:space="preserve">ные Верховным судом по делам, связанным с экономическими, социальными и культурными правами. Тем не </w:t>
      </w:r>
      <w:proofErr w:type="gramStart"/>
      <w:r w:rsidRPr="00D74FA5">
        <w:t>менее</w:t>
      </w:r>
      <w:proofErr w:type="gramEnd"/>
      <w:r w:rsidRPr="00D74FA5">
        <w:t xml:space="preserve"> Комитет обеспокоен тем, что в Констит</w:t>
      </w:r>
      <w:r w:rsidRPr="00D74FA5">
        <w:t>у</w:t>
      </w:r>
      <w:r w:rsidRPr="00D74FA5">
        <w:t>цию входят не все права, закрепл</w:t>
      </w:r>
      <w:r w:rsidR="00395757">
        <w:t>е</w:t>
      </w:r>
      <w:r w:rsidRPr="00D74FA5">
        <w:t>нные в Пакте. Он выражает сожаление по п</w:t>
      </w:r>
      <w:r w:rsidRPr="00D74FA5">
        <w:t>о</w:t>
      </w:r>
      <w:r w:rsidRPr="00D74FA5">
        <w:t>воду отсутствия информации о вынесенных судами более низкой инстанции решениях со ссылками на положения Пакта.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6.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 обеспечения того, чтобы права, закрепленные в Пакте, были полностью включены в его внутреннее законодательство и, подобно гра</w:t>
      </w:r>
      <w:r w:rsidRPr="00D74FA5">
        <w:rPr>
          <w:b/>
          <w:bCs/>
        </w:rPr>
        <w:t>ж</w:t>
      </w:r>
      <w:r w:rsidRPr="00D74FA5">
        <w:rPr>
          <w:b/>
          <w:bCs/>
        </w:rPr>
        <w:t>данским и политическим правам, имели статус конституционной нормы в целях гарантирования их защиты национальными судами на всех уровнях. Он рекомендует также государству-участнику расширить подготовку судей, юристов и государственных должностных лиц по вопросам Пакта. Комитет обращает внимание государства-участника на свое замечание общего п</w:t>
      </w:r>
      <w:r w:rsidRPr="00D74FA5">
        <w:rPr>
          <w:b/>
          <w:bCs/>
        </w:rPr>
        <w:t>о</w:t>
      </w:r>
      <w:r w:rsidRPr="00D74FA5">
        <w:rPr>
          <w:b/>
          <w:bCs/>
        </w:rPr>
        <w:t xml:space="preserve">рядка № 9 (1998 год) о применении Пакта во внутреннем праве. 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Управление Уполномоченного по административным вопросам и правам человека</w:t>
      </w:r>
    </w:p>
    <w:p w:rsidR="00D74FA5" w:rsidRPr="00D74FA5" w:rsidRDefault="00D74FA5" w:rsidP="00D74FA5">
      <w:pPr>
        <w:pStyle w:val="SingleTxtGR"/>
      </w:pPr>
      <w:r w:rsidRPr="00D74FA5">
        <w:t>7.</w:t>
      </w:r>
      <w:r w:rsidRPr="00D74FA5">
        <w:tab/>
        <w:t>Комитет обеспокоен тем, что Управление Уполномоченного по админ</w:t>
      </w:r>
      <w:r w:rsidRPr="00D74FA5">
        <w:t>и</w:t>
      </w:r>
      <w:r w:rsidRPr="00D74FA5">
        <w:t>стративным вопросам и правам человека не полностью соответствует принц</w:t>
      </w:r>
      <w:r w:rsidRPr="00D74FA5">
        <w:t>и</w:t>
      </w:r>
      <w:r w:rsidRPr="00D74FA5">
        <w:t>пам, касающимся статуса национальных учреждений по поощрению и защите прав человека (Парижские принципы). Он особенно озабочен недостаточно прозрачным и представительным процессом отбора и назначения Уполном</w:t>
      </w:r>
      <w:r w:rsidRPr="00D74FA5">
        <w:t>о</w:t>
      </w:r>
      <w:r w:rsidRPr="00D74FA5">
        <w:lastRenderedPageBreak/>
        <w:t>ченного, отсутствием четких правовых положений о мандате Уполномоченного в области поощрения прав человека, неадекватным уровнем финансирования и недостатком финансовой и административной самостоятельности.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8.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 обеспечения того, чтобы Управление Уполномоченного по административным вопросам и правам человека полностью соответств</w:t>
      </w:r>
      <w:r w:rsidRPr="00D74FA5">
        <w:rPr>
          <w:b/>
          <w:bCs/>
        </w:rPr>
        <w:t>о</w:t>
      </w:r>
      <w:r w:rsidRPr="00D74FA5">
        <w:rPr>
          <w:b/>
          <w:bCs/>
        </w:rPr>
        <w:t>вало Парижским принципам. В частности, он рекомендует государству-участнику: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D74FA5">
        <w:tab/>
      </w:r>
      <w:r w:rsidRPr="0028168B">
        <w:rPr>
          <w:b/>
          <w:lang w:val="en-GB"/>
        </w:rPr>
        <w:t>a</w:t>
      </w:r>
      <w:r w:rsidRPr="0028168B">
        <w:rPr>
          <w:b/>
        </w:rPr>
        <w:t>)</w:t>
      </w:r>
      <w:r w:rsidRPr="0028168B">
        <w:rPr>
          <w:b/>
          <w:bCs/>
        </w:rPr>
        <w:tab/>
      </w:r>
      <w:proofErr w:type="gramStart"/>
      <w:r w:rsidRPr="0028168B">
        <w:rPr>
          <w:b/>
          <w:bCs/>
        </w:rPr>
        <w:t>положить</w:t>
      </w:r>
      <w:proofErr w:type="gramEnd"/>
      <w:r w:rsidRPr="0028168B">
        <w:rPr>
          <w:b/>
          <w:bCs/>
        </w:rPr>
        <w:t xml:space="preserve"> в основу процесса назначения принципы открыт</w:t>
      </w:r>
      <w:r w:rsidRPr="0028168B">
        <w:rPr>
          <w:b/>
          <w:bCs/>
        </w:rPr>
        <w:t>о</w:t>
      </w:r>
      <w:r w:rsidRPr="0028168B">
        <w:rPr>
          <w:b/>
          <w:bCs/>
        </w:rPr>
        <w:t xml:space="preserve">сти, участия и прозрачности; 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  <w:bCs/>
        </w:rPr>
        <w:tab/>
      </w:r>
      <w:r w:rsidRPr="0028168B">
        <w:rPr>
          <w:b/>
          <w:lang w:val="en-GB"/>
        </w:rPr>
        <w:t>b</w:t>
      </w:r>
      <w:r w:rsidRPr="0028168B">
        <w:rPr>
          <w:b/>
        </w:rPr>
        <w:t>)</w:t>
      </w:r>
      <w:r w:rsidRPr="0028168B">
        <w:rPr>
          <w:b/>
          <w:bCs/>
        </w:rPr>
        <w:tab/>
      </w:r>
      <w:proofErr w:type="gramStart"/>
      <w:r w:rsidRPr="0028168B">
        <w:rPr>
          <w:b/>
          <w:bCs/>
        </w:rPr>
        <w:t>обеспечить</w:t>
      </w:r>
      <w:proofErr w:type="gramEnd"/>
      <w:r w:rsidRPr="0028168B">
        <w:rPr>
          <w:b/>
          <w:bCs/>
        </w:rPr>
        <w:t>, чтобы мандат Уполномоченного в области поощр</w:t>
      </w:r>
      <w:r w:rsidRPr="0028168B">
        <w:rPr>
          <w:b/>
          <w:bCs/>
        </w:rPr>
        <w:t>е</w:t>
      </w:r>
      <w:r w:rsidRPr="0028168B">
        <w:rPr>
          <w:b/>
          <w:bCs/>
        </w:rPr>
        <w:t xml:space="preserve">ния прав человека четко предусматривался законодательством; 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  <w:bCs/>
        </w:rPr>
        <w:tab/>
      </w:r>
      <w:r w:rsidRPr="0028168B">
        <w:rPr>
          <w:b/>
          <w:lang w:val="en-GB"/>
        </w:rPr>
        <w:t>c</w:t>
      </w:r>
      <w:r w:rsidRPr="0028168B">
        <w:rPr>
          <w:b/>
        </w:rPr>
        <w:t>)</w:t>
      </w:r>
      <w:r w:rsidRPr="0028168B">
        <w:rPr>
          <w:b/>
          <w:bCs/>
        </w:rPr>
        <w:tab/>
      </w:r>
      <w:proofErr w:type="gramStart"/>
      <w:r w:rsidRPr="0028168B">
        <w:rPr>
          <w:b/>
          <w:bCs/>
        </w:rPr>
        <w:t>выделить</w:t>
      </w:r>
      <w:proofErr w:type="gramEnd"/>
      <w:r w:rsidRPr="0028168B">
        <w:rPr>
          <w:b/>
          <w:bCs/>
        </w:rPr>
        <w:t xml:space="preserve"> Управлению Уполномоченного достаточный объем ресурсов и обеспечить его финансовую самостоятельность;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28168B">
        <w:rPr>
          <w:b/>
          <w:bCs/>
        </w:rPr>
        <w:tab/>
      </w:r>
      <w:r w:rsidRPr="0028168B">
        <w:rPr>
          <w:b/>
          <w:lang w:val="en-GB"/>
        </w:rPr>
        <w:t>d</w:t>
      </w:r>
      <w:r w:rsidRPr="0028168B">
        <w:rPr>
          <w:b/>
        </w:rPr>
        <w:t>)</w:t>
      </w:r>
      <w:r w:rsidRPr="0028168B">
        <w:rPr>
          <w:b/>
          <w:bCs/>
        </w:rPr>
        <w:tab/>
      </w:r>
      <w:proofErr w:type="gramStart"/>
      <w:r w:rsidRPr="0028168B">
        <w:rPr>
          <w:b/>
          <w:bCs/>
        </w:rPr>
        <w:t>дать</w:t>
      </w:r>
      <w:proofErr w:type="gramEnd"/>
      <w:r w:rsidRPr="0028168B">
        <w:rPr>
          <w:b/>
          <w:bCs/>
        </w:rPr>
        <w:t xml:space="preserve"> Управлению Уполномоченного возможность самосто</w:t>
      </w:r>
      <w:r w:rsidRPr="0028168B">
        <w:rPr>
          <w:b/>
          <w:bCs/>
        </w:rPr>
        <w:t>я</w:t>
      </w:r>
      <w:r w:rsidRPr="0028168B">
        <w:rPr>
          <w:b/>
          <w:bCs/>
        </w:rPr>
        <w:t>тельно н</w:t>
      </w:r>
      <w:r w:rsidRPr="00D74FA5">
        <w:rPr>
          <w:b/>
          <w:bCs/>
        </w:rPr>
        <w:t xml:space="preserve">абирать сотрудников. 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 xml:space="preserve">Юридическая помощь </w:t>
      </w:r>
    </w:p>
    <w:p w:rsidR="00D74FA5" w:rsidRPr="00D74FA5" w:rsidRDefault="00D74FA5" w:rsidP="00D74FA5">
      <w:pPr>
        <w:pStyle w:val="SingleTxtGR"/>
      </w:pPr>
      <w:r w:rsidRPr="00D74FA5">
        <w:t>9.</w:t>
      </w:r>
      <w:r w:rsidRPr="00D74FA5">
        <w:tab/>
        <w:t xml:space="preserve">Комитет обеспокоен тем, что, несмотря на меры, принятые государством-участником, лица и группы, находящиеся в неблагоприятном и </w:t>
      </w:r>
      <w:proofErr w:type="spellStart"/>
      <w:r w:rsidRPr="00D74FA5">
        <w:t>маргинализ</w:t>
      </w:r>
      <w:r w:rsidRPr="00D74FA5">
        <w:t>о</w:t>
      </w:r>
      <w:r w:rsidRPr="00D74FA5">
        <w:t>ванном</w:t>
      </w:r>
      <w:proofErr w:type="spellEnd"/>
      <w:r w:rsidRPr="00D74FA5">
        <w:t xml:space="preserve"> положении, по-прежнему сталкиваются с трудностями при попытке з</w:t>
      </w:r>
      <w:r w:rsidRPr="00D74FA5">
        <w:t>а</w:t>
      </w:r>
      <w:r w:rsidRPr="00D74FA5">
        <w:t>явить о своих экономических, социальных и культурных правах в силу огран</w:t>
      </w:r>
      <w:r w:rsidRPr="00D74FA5">
        <w:t>и</w:t>
      </w:r>
      <w:r w:rsidRPr="00D74FA5">
        <w:t>ченного доступа к бесплатной юридической помощи. Он отмечает недостато</w:t>
      </w:r>
      <w:r w:rsidRPr="00D74FA5">
        <w:t>ч</w:t>
      </w:r>
      <w:r w:rsidRPr="00D74FA5">
        <w:t>ность подробной информации о программах юридической помощи в госуда</w:t>
      </w:r>
      <w:r w:rsidRPr="00D74FA5">
        <w:t>р</w:t>
      </w:r>
      <w:r w:rsidR="0028168B">
        <w:t xml:space="preserve">стве-участнике, в </w:t>
      </w:r>
      <w:proofErr w:type="spellStart"/>
      <w:r w:rsidRPr="00D74FA5">
        <w:t>ча</w:t>
      </w:r>
      <w:proofErr w:type="spellEnd"/>
      <w:proofErr w:type="gramStart"/>
      <w:r w:rsidR="0028168B">
        <w:rPr>
          <w:lang w:val="en-US"/>
        </w:rPr>
        <w:t>c</w:t>
      </w:r>
      <w:proofErr w:type="spellStart"/>
      <w:proofErr w:type="gramEnd"/>
      <w:r w:rsidRPr="00D74FA5">
        <w:t>тности</w:t>
      </w:r>
      <w:proofErr w:type="spellEnd"/>
      <w:r w:rsidRPr="00D74FA5">
        <w:t xml:space="preserve"> о числе бенефициаров и объеме средств, выделя</w:t>
      </w:r>
      <w:r w:rsidRPr="00D74FA5">
        <w:t>е</w:t>
      </w:r>
      <w:r w:rsidRPr="00D74FA5">
        <w:t>мых на эти программы.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10.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активизировать усилия по оказанию бесплатной юридической помощи тем, кто в ней нуждается, особенно женщинам, инвалидам, трудящимся-мигрантам и просителям убежища, а также обеспечить адекватность охвата, доступа и предоставл</w:t>
      </w:r>
      <w:r w:rsidRPr="00D74FA5">
        <w:rPr>
          <w:b/>
          <w:bCs/>
        </w:rPr>
        <w:t>я</w:t>
      </w:r>
      <w:r w:rsidRPr="00D74FA5">
        <w:rPr>
          <w:b/>
          <w:bCs/>
        </w:rPr>
        <w:t>емых услуг.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Максимальные имеющиеся ресурсы</w:t>
      </w:r>
    </w:p>
    <w:p w:rsidR="00D74FA5" w:rsidRPr="00D74FA5" w:rsidRDefault="00D74FA5" w:rsidP="00D74FA5">
      <w:pPr>
        <w:pStyle w:val="SingleTxtGR"/>
      </w:pPr>
      <w:r w:rsidRPr="00D74FA5">
        <w:t>11.</w:t>
      </w:r>
      <w:r w:rsidRPr="00D74FA5">
        <w:tab/>
        <w:t>Отмечая недавний экономический кризис и завершение программы ма</w:t>
      </w:r>
      <w:r w:rsidRPr="00D74FA5">
        <w:t>к</w:t>
      </w:r>
      <w:r w:rsidRPr="00D74FA5">
        <w:t>роэкономических преобразований в государстве-участнике, Комитет, тем не м</w:t>
      </w:r>
      <w:r w:rsidRPr="00D74FA5">
        <w:t>е</w:t>
      </w:r>
      <w:r w:rsidRPr="00D74FA5">
        <w:t>нее, с обеспокоенностью отмечает продолжающееся значительное сокращение государственных расходов, особенно в таких сферах, как социальная защита, жилье, здравоохранение и образование, в рамках мер бюджетной консолидации. Он озабочен также тем, что данные меры оказали чрезмерно негативное во</w:t>
      </w:r>
      <w:r w:rsidRPr="00D74FA5">
        <w:t>з</w:t>
      </w:r>
      <w:r w:rsidRPr="00D74FA5">
        <w:t xml:space="preserve">действие на осуществление экономических, социальных и культурных прав лиц и групп, находящихся в неблагоприятном или </w:t>
      </w:r>
      <w:proofErr w:type="spellStart"/>
      <w:r w:rsidRPr="00D74FA5">
        <w:t>маргинализованном</w:t>
      </w:r>
      <w:proofErr w:type="spellEnd"/>
      <w:r w:rsidRPr="00D74FA5">
        <w:t xml:space="preserve"> положении. Он отмечает, что государство-участник не представило информацию о всеоб</w:t>
      </w:r>
      <w:r w:rsidRPr="00D74FA5">
        <w:t>ъ</w:t>
      </w:r>
      <w:r w:rsidRPr="00D74FA5">
        <w:t>емлющем влиянии мер жесткой экономии на реализацию экономических, соц</w:t>
      </w:r>
      <w:r w:rsidRPr="00D74FA5">
        <w:t>и</w:t>
      </w:r>
      <w:r w:rsidRPr="00D74FA5">
        <w:t>альных и культурных прав (статья 2 1)).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12.</w:t>
      </w:r>
      <w:r w:rsidRPr="00D74FA5">
        <w:tab/>
      </w:r>
      <w:r w:rsidRPr="00D74FA5">
        <w:rPr>
          <w:b/>
          <w:bCs/>
        </w:rPr>
        <w:t>Комитет рекомендует государству-участнику: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D74FA5">
        <w:tab/>
      </w:r>
      <w:r w:rsidRPr="0028168B">
        <w:rPr>
          <w:b/>
          <w:lang w:val="en-GB"/>
        </w:rPr>
        <w:t>a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применяя</w:t>
      </w:r>
      <w:proofErr w:type="gramEnd"/>
      <w:r w:rsidRPr="0028168B">
        <w:rPr>
          <w:b/>
          <w:bCs/>
        </w:rPr>
        <w:t xml:space="preserve"> стандарты в области прав человека, провести обзор всех мер, принятых в ответ на экономический кризис, в целях обеспечения всеобщего осуществления экономических, социальных и культурных прав. </w:t>
      </w:r>
      <w:r w:rsidRPr="0028168B">
        <w:rPr>
          <w:b/>
          <w:bCs/>
        </w:rPr>
        <w:lastRenderedPageBreak/>
        <w:t>В этой связи он обращает внимание государства-участника на свое откр</w:t>
      </w:r>
      <w:r w:rsidRPr="0028168B">
        <w:rPr>
          <w:b/>
          <w:bCs/>
        </w:rPr>
        <w:t>ы</w:t>
      </w:r>
      <w:r w:rsidRPr="0028168B">
        <w:rPr>
          <w:b/>
          <w:bCs/>
        </w:rPr>
        <w:t>тое письмо государствам-участникам от 16 мая 2012 года, посвященное экономическим, социальным и культурным правам в контексте эконом</w:t>
      </w:r>
      <w:r w:rsidRPr="0028168B">
        <w:rPr>
          <w:b/>
          <w:bCs/>
        </w:rPr>
        <w:t>и</w:t>
      </w:r>
      <w:r w:rsidRPr="0028168B">
        <w:rPr>
          <w:b/>
          <w:bCs/>
        </w:rPr>
        <w:t xml:space="preserve">ческого и финансового кризиса, в частности на требования, которым должна соответствовать политика жесткой экономии. </w:t>
      </w:r>
      <w:proofErr w:type="gramStart"/>
      <w:r w:rsidRPr="0028168B">
        <w:rPr>
          <w:b/>
          <w:bCs/>
        </w:rPr>
        <w:t>Кроме того, он о</w:t>
      </w:r>
      <w:r w:rsidRPr="0028168B">
        <w:rPr>
          <w:b/>
          <w:bCs/>
        </w:rPr>
        <w:t>б</w:t>
      </w:r>
      <w:r w:rsidRPr="0028168B">
        <w:rPr>
          <w:b/>
          <w:bCs/>
        </w:rPr>
        <w:t>ращает внимание государства-участника на свое заявление 2016 года, в к</w:t>
      </w:r>
      <w:r w:rsidRPr="0028168B">
        <w:rPr>
          <w:b/>
          <w:bCs/>
        </w:rPr>
        <w:t>о</w:t>
      </w:r>
      <w:r w:rsidRPr="0028168B">
        <w:rPr>
          <w:b/>
          <w:bCs/>
        </w:rPr>
        <w:t>тором говорится о государственном долге, мерах жесткой экономии и Па</w:t>
      </w:r>
      <w:r w:rsidRPr="0028168B">
        <w:rPr>
          <w:b/>
          <w:bCs/>
        </w:rPr>
        <w:t>к</w:t>
      </w:r>
      <w:r w:rsidRPr="0028168B">
        <w:rPr>
          <w:b/>
          <w:bCs/>
        </w:rPr>
        <w:t>те (</w:t>
      </w:r>
      <w:r w:rsidRPr="0028168B">
        <w:rPr>
          <w:b/>
          <w:bCs/>
          <w:lang w:val="en-GB"/>
        </w:rPr>
        <w:t>E</w:t>
      </w:r>
      <w:r w:rsidRPr="0028168B">
        <w:rPr>
          <w:b/>
          <w:bCs/>
        </w:rPr>
        <w:t>/</w:t>
      </w:r>
      <w:r w:rsidRPr="0028168B">
        <w:rPr>
          <w:b/>
          <w:bCs/>
          <w:lang w:val="en-GB"/>
        </w:rPr>
        <w:t>C</w:t>
      </w:r>
      <w:r w:rsidRPr="0028168B">
        <w:rPr>
          <w:b/>
          <w:bCs/>
        </w:rPr>
        <w:t>.12/2016/1);</w:t>
      </w:r>
      <w:proofErr w:type="gramEnd"/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b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обеспечить</w:t>
      </w:r>
      <w:proofErr w:type="gramEnd"/>
      <w:r w:rsidRPr="0028168B">
        <w:rPr>
          <w:b/>
          <w:bCs/>
        </w:rPr>
        <w:t xml:space="preserve"> постепенное свертывание мер жесткой экономии и расширение эффективной защиты прав, предусмотренных Пактом, в соо</w:t>
      </w:r>
      <w:r w:rsidRPr="0028168B">
        <w:rPr>
          <w:b/>
          <w:bCs/>
        </w:rPr>
        <w:t>т</w:t>
      </w:r>
      <w:r w:rsidRPr="0028168B">
        <w:rPr>
          <w:b/>
          <w:bCs/>
        </w:rPr>
        <w:t>ветствии с прогрессом, достигнутым в рамках посткризисного восстано</w:t>
      </w:r>
      <w:r w:rsidRPr="0028168B">
        <w:rPr>
          <w:b/>
          <w:bCs/>
        </w:rPr>
        <w:t>в</w:t>
      </w:r>
      <w:r w:rsidRPr="0028168B">
        <w:rPr>
          <w:b/>
          <w:bCs/>
        </w:rPr>
        <w:t>ления экономики;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c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восстановить</w:t>
      </w:r>
      <w:proofErr w:type="gramEnd"/>
      <w:r w:rsidRPr="0028168B">
        <w:rPr>
          <w:b/>
          <w:bCs/>
        </w:rPr>
        <w:t xml:space="preserve"> докризисный уровень государственных услуг и социальных льгот;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d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учредить</w:t>
      </w:r>
      <w:proofErr w:type="gramEnd"/>
      <w:r w:rsidRPr="0028168B">
        <w:rPr>
          <w:b/>
          <w:bCs/>
        </w:rPr>
        <w:t xml:space="preserve"> оценку воздействия на права человека в рамках пр</w:t>
      </w:r>
      <w:r w:rsidRPr="0028168B">
        <w:rPr>
          <w:b/>
          <w:bCs/>
        </w:rPr>
        <w:t>о</w:t>
      </w:r>
      <w:r w:rsidRPr="0028168B">
        <w:rPr>
          <w:b/>
          <w:bCs/>
        </w:rPr>
        <w:t>цесса разр</w:t>
      </w:r>
      <w:r w:rsidRPr="00D74FA5">
        <w:rPr>
          <w:b/>
          <w:bCs/>
        </w:rPr>
        <w:t>аботки политики.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</w:r>
      <w:proofErr w:type="spellStart"/>
      <w:r w:rsidRPr="00D74FA5">
        <w:t>Недискриминация</w:t>
      </w:r>
      <w:proofErr w:type="spellEnd"/>
    </w:p>
    <w:p w:rsidR="00D74FA5" w:rsidRPr="00D74FA5" w:rsidRDefault="00D74FA5" w:rsidP="00D74FA5">
      <w:pPr>
        <w:pStyle w:val="SingleTxtGR"/>
      </w:pPr>
      <w:r w:rsidRPr="00D74FA5">
        <w:t>13.</w:t>
      </w:r>
      <w:r w:rsidRPr="00D74FA5">
        <w:tab/>
        <w:t>Комитет обеспокоен сохраняющейся дискриминацией в отношении м</w:t>
      </w:r>
      <w:r w:rsidRPr="00D74FA5">
        <w:t>и</w:t>
      </w:r>
      <w:r w:rsidRPr="00D74FA5">
        <w:t xml:space="preserve">грантов из стран, не входящих в Европейский союз (мигранты из третьих стран), киприотов-турок и представителей этнических меньшинств, особенно народности рома. </w:t>
      </w:r>
      <w:proofErr w:type="gramStart"/>
      <w:r w:rsidRPr="00D74FA5">
        <w:t>Отмечая правовые и институциональные меры, принятые государством-участником для борьбы с дискриминацией, Комитет, тем не м</w:t>
      </w:r>
      <w:r w:rsidRPr="00D74FA5">
        <w:t>е</w:t>
      </w:r>
      <w:r w:rsidRPr="00D74FA5">
        <w:t>нее, выражает озабоченность по поводу того, что в существующем законод</w:t>
      </w:r>
      <w:r w:rsidRPr="00D74FA5">
        <w:t>а</w:t>
      </w:r>
      <w:r w:rsidRPr="00D74FA5">
        <w:t>тельстве остаются дискриминационные положения, такие как раздел 5 Закона 2004 года о равном обращении в сфере труда и занятий, который не распр</w:t>
      </w:r>
      <w:r w:rsidRPr="00D74FA5">
        <w:t>о</w:t>
      </w:r>
      <w:r w:rsidRPr="00D74FA5">
        <w:t>страняется на дискриминацию по признаку национальной принадлежности, пробел в юридической защите, касающийся множественной дискриминации, или ограниченная</w:t>
      </w:r>
      <w:proofErr w:type="gramEnd"/>
      <w:r w:rsidRPr="00D74FA5">
        <w:t xml:space="preserve"> сфера охвата антидискриминационной судебной практики, предположительно обусловленная недостаточной осведомленностью об ант</w:t>
      </w:r>
      <w:r w:rsidRPr="00D74FA5">
        <w:t>и</w:t>
      </w:r>
      <w:r w:rsidRPr="00D74FA5">
        <w:t>дискриминационном законодательстве (статьи 2 2) и 3).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14.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продолжать укрепление своей антидискриминационной законодательной базы, в том числе посре</w:t>
      </w:r>
      <w:r w:rsidRPr="00D74FA5">
        <w:rPr>
          <w:b/>
          <w:bCs/>
        </w:rPr>
        <w:t>д</w:t>
      </w:r>
      <w:r w:rsidRPr="00D74FA5">
        <w:rPr>
          <w:b/>
          <w:bCs/>
        </w:rPr>
        <w:t>ством проведения обзора существующего антидискриминационного зак</w:t>
      </w:r>
      <w:r w:rsidRPr="00D74FA5">
        <w:rPr>
          <w:b/>
          <w:bCs/>
        </w:rPr>
        <w:t>о</w:t>
      </w:r>
      <w:r w:rsidRPr="00D74FA5">
        <w:rPr>
          <w:b/>
          <w:bCs/>
        </w:rPr>
        <w:t xml:space="preserve">нодательства. В этой связи Комитет настоятельно призывает государство-участник провести обзор существующего законодательства, с </w:t>
      </w:r>
      <w:proofErr w:type="gramStart"/>
      <w:r w:rsidRPr="00D74FA5">
        <w:rPr>
          <w:b/>
          <w:bCs/>
        </w:rPr>
        <w:t>тем</w:t>
      </w:r>
      <w:proofErr w:type="gramEnd"/>
      <w:r w:rsidRPr="00D74FA5">
        <w:rPr>
          <w:b/>
          <w:bCs/>
        </w:rPr>
        <w:t xml:space="preserve"> чтобы исключить из него все дискриминационные положения. Комитет рекоме</w:t>
      </w:r>
      <w:r w:rsidRPr="00D74FA5">
        <w:rPr>
          <w:b/>
          <w:bCs/>
        </w:rPr>
        <w:t>н</w:t>
      </w:r>
      <w:r w:rsidRPr="00D74FA5">
        <w:rPr>
          <w:b/>
          <w:bCs/>
        </w:rPr>
        <w:t>дует государству-участнику принять всеобъемлющее антидискриминац</w:t>
      </w:r>
      <w:r w:rsidRPr="00D74FA5">
        <w:rPr>
          <w:b/>
          <w:bCs/>
        </w:rPr>
        <w:t>и</w:t>
      </w:r>
      <w:r w:rsidRPr="00D74FA5">
        <w:rPr>
          <w:b/>
          <w:bCs/>
        </w:rPr>
        <w:t>онное законодательство, которое запрещает все формы прямой, косвенной и множественной дискриминации по любым признакам и предусматривает эффективные средства правовой защиты для жертв дискриминации, в том числе в рамках судебных и административных разбирательств. Он рек</w:t>
      </w:r>
      <w:r w:rsidRPr="00D74FA5">
        <w:rPr>
          <w:b/>
          <w:bCs/>
        </w:rPr>
        <w:t>о</w:t>
      </w:r>
      <w:r w:rsidRPr="00D74FA5">
        <w:rPr>
          <w:b/>
          <w:bCs/>
        </w:rPr>
        <w:t>мендует также государству-участнику активизировать усилия по повыш</w:t>
      </w:r>
      <w:r w:rsidRPr="00D74FA5">
        <w:rPr>
          <w:b/>
          <w:bCs/>
        </w:rPr>
        <w:t>е</w:t>
      </w:r>
      <w:r w:rsidRPr="00D74FA5">
        <w:rPr>
          <w:b/>
          <w:bCs/>
        </w:rPr>
        <w:t>нию осведомленности об антидискриминационной законодательной базе среди широкой общественности</w:t>
      </w:r>
      <w:r w:rsidRPr="00D74FA5">
        <w:rPr>
          <w:rFonts w:hint="eastAsia"/>
          <w:b/>
          <w:bCs/>
        </w:rPr>
        <w:t xml:space="preserve">, </w:t>
      </w:r>
      <w:r w:rsidRPr="00D74FA5">
        <w:rPr>
          <w:b/>
          <w:bCs/>
        </w:rPr>
        <w:t xml:space="preserve">в частности правообладателей и </w:t>
      </w:r>
      <w:proofErr w:type="gramStart"/>
      <w:r w:rsidRPr="00D74FA5">
        <w:rPr>
          <w:b/>
          <w:bCs/>
        </w:rPr>
        <w:t>сотру</w:t>
      </w:r>
      <w:r w:rsidRPr="00D74FA5">
        <w:rPr>
          <w:b/>
          <w:bCs/>
        </w:rPr>
        <w:t>д</w:t>
      </w:r>
      <w:r w:rsidRPr="00D74FA5">
        <w:rPr>
          <w:b/>
          <w:bCs/>
        </w:rPr>
        <w:t>ников</w:t>
      </w:r>
      <w:proofErr w:type="gramEnd"/>
      <w:r w:rsidRPr="00D74FA5">
        <w:rPr>
          <w:b/>
          <w:bCs/>
        </w:rPr>
        <w:t xml:space="preserve"> судебных и правоохранительных органов.</w:t>
      </w:r>
      <w:r w:rsidRPr="00D74FA5">
        <w:rPr>
          <w:rFonts w:hint="eastAsia"/>
          <w:b/>
          <w:bCs/>
        </w:rPr>
        <w:t xml:space="preserve"> </w:t>
      </w:r>
      <w:r w:rsidRPr="00D74FA5">
        <w:rPr>
          <w:b/>
          <w:bCs/>
        </w:rPr>
        <w:t xml:space="preserve">В этой связи он обращает внимание государства-участника на свое замечание общего порядка № 20 (2009 год) о </w:t>
      </w:r>
      <w:proofErr w:type="spellStart"/>
      <w:r w:rsidRPr="00D74FA5">
        <w:rPr>
          <w:b/>
          <w:bCs/>
        </w:rPr>
        <w:t>недискриминации</w:t>
      </w:r>
      <w:proofErr w:type="spellEnd"/>
      <w:r w:rsidRPr="00D74FA5">
        <w:rPr>
          <w:b/>
          <w:bCs/>
        </w:rPr>
        <w:t xml:space="preserve"> экономических, социальных и культурных прав.</w:t>
      </w:r>
    </w:p>
    <w:p w:rsidR="00D74FA5" w:rsidRPr="00D74FA5" w:rsidRDefault="00D74FA5" w:rsidP="0028168B">
      <w:pPr>
        <w:pStyle w:val="H23GR"/>
      </w:pPr>
      <w:r w:rsidRPr="00D74FA5">
        <w:lastRenderedPageBreak/>
        <w:tab/>
      </w:r>
      <w:r w:rsidRPr="00D74FA5">
        <w:tab/>
        <w:t>Просители убежища</w:t>
      </w:r>
    </w:p>
    <w:p w:rsidR="00D74FA5" w:rsidRPr="00D74FA5" w:rsidRDefault="00D74FA5" w:rsidP="00D74FA5">
      <w:pPr>
        <w:pStyle w:val="SingleTxtGR"/>
      </w:pPr>
      <w:r w:rsidRPr="00D74FA5">
        <w:t>15.</w:t>
      </w:r>
      <w:r w:rsidRPr="00D74FA5">
        <w:tab/>
        <w:t>Отмечая усилия, приложенные государством-участником для улучшения положения просителей убежища, Комитет, тем не менее, выражает обеспокое</w:t>
      </w:r>
      <w:r w:rsidRPr="00D74FA5">
        <w:t>н</w:t>
      </w:r>
      <w:r w:rsidRPr="00D74FA5">
        <w:t>ность по поводу: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a</w:t>
      </w:r>
      <w:r w:rsidRPr="00D74FA5">
        <w:t>)</w:t>
      </w:r>
      <w:r w:rsidRPr="00D74FA5">
        <w:tab/>
      </w:r>
      <w:proofErr w:type="gramStart"/>
      <w:r w:rsidRPr="00D74FA5">
        <w:t>неадекватности</w:t>
      </w:r>
      <w:proofErr w:type="gramEnd"/>
      <w:r w:rsidRPr="00D74FA5">
        <w:t xml:space="preserve"> условий содержания и услуг, оказываемых в це</w:t>
      </w:r>
      <w:r w:rsidRPr="00D74FA5">
        <w:t>н</w:t>
      </w:r>
      <w:r w:rsidRPr="00D74FA5">
        <w:t>трах приема просителям убежища, в частности женщинам и детям, и использ</w:t>
      </w:r>
      <w:r w:rsidRPr="00D74FA5">
        <w:t>о</w:t>
      </w:r>
      <w:r w:rsidRPr="00D74FA5">
        <w:t>вания объектов для размещения в экстренных случаях в течение длительного времени;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b</w:t>
      </w:r>
      <w:r w:rsidRPr="00D74FA5">
        <w:t>)</w:t>
      </w:r>
      <w:r w:rsidRPr="00D74FA5">
        <w:tab/>
      </w:r>
      <w:proofErr w:type="gramStart"/>
      <w:r w:rsidRPr="00D74FA5">
        <w:t>недостаточного</w:t>
      </w:r>
      <w:proofErr w:type="gramEnd"/>
      <w:r w:rsidRPr="00D74FA5">
        <w:t xml:space="preserve"> объема предоставляемых просителям убежища п</w:t>
      </w:r>
      <w:r w:rsidRPr="00D74FA5">
        <w:t>о</w:t>
      </w:r>
      <w:r w:rsidRPr="00D74FA5">
        <w:t>собий по социальному обеспечению, которые составляют менее половины от гарантированного минимального дохода;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c</w:t>
      </w:r>
      <w:r w:rsidRPr="00D74FA5">
        <w:t>)</w:t>
      </w:r>
      <w:r w:rsidRPr="00D74FA5">
        <w:tab/>
      </w:r>
      <w:proofErr w:type="gramStart"/>
      <w:r w:rsidRPr="00D74FA5">
        <w:t>очень</w:t>
      </w:r>
      <w:proofErr w:type="gramEnd"/>
      <w:r w:rsidRPr="00D74FA5">
        <w:t xml:space="preserve"> ограниченного спектра возможностей трудоустройства для просителей убежища, которые предлагаются главным образом в отдаленных районах без предоставления надлежащего транспорта или жилья;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d</w:t>
      </w:r>
      <w:r w:rsidRPr="00D74FA5">
        <w:t>)</w:t>
      </w:r>
      <w:r w:rsidRPr="00D74FA5">
        <w:tab/>
        <w:t>новой политики задержания просителей убежища, которая разр</w:t>
      </w:r>
      <w:r w:rsidRPr="00D74FA5">
        <w:t>е</w:t>
      </w:r>
      <w:r w:rsidRPr="00D74FA5">
        <w:t>шает задержание просителей убежища, имеющих нерассмотренный иск в Ве</w:t>
      </w:r>
      <w:r w:rsidRPr="00D74FA5">
        <w:t>р</w:t>
      </w:r>
      <w:r w:rsidRPr="00D74FA5">
        <w:t>ховный суд, и не предусматривает освобождение просителей убежища, подп</w:t>
      </w:r>
      <w:r w:rsidRPr="00D74FA5">
        <w:t>а</w:t>
      </w:r>
      <w:r w:rsidRPr="00D74FA5">
        <w:t>дающих под постановления о депортации и, следовательно, подающих заявку на предоставление убежища во время нахождения под стражей (статьи 2 2), 3, 6 и 11).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16.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продолжать усилия, направленные на то, чтобы: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D74FA5">
        <w:tab/>
      </w:r>
      <w:r w:rsidRPr="0028168B">
        <w:rPr>
          <w:b/>
          <w:lang w:val="en-GB"/>
        </w:rPr>
        <w:t>a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увеличить</w:t>
      </w:r>
      <w:proofErr w:type="gramEnd"/>
      <w:r w:rsidRPr="0028168B">
        <w:rPr>
          <w:b/>
          <w:bCs/>
        </w:rPr>
        <w:t xml:space="preserve"> пропускную способность существующего центра приема в </w:t>
      </w:r>
      <w:proofErr w:type="spellStart"/>
      <w:r w:rsidRPr="0028168B">
        <w:rPr>
          <w:b/>
          <w:bCs/>
        </w:rPr>
        <w:t>Кофину</w:t>
      </w:r>
      <w:proofErr w:type="spellEnd"/>
      <w:r w:rsidRPr="0028168B">
        <w:rPr>
          <w:b/>
          <w:bCs/>
        </w:rPr>
        <w:t xml:space="preserve"> и рассмотреть возможность создания дополнительного потенциала в другом месте, а также обеспечить, чтобы объекты для ра</w:t>
      </w:r>
      <w:r w:rsidRPr="0028168B">
        <w:rPr>
          <w:b/>
          <w:bCs/>
        </w:rPr>
        <w:t>з</w:t>
      </w:r>
      <w:r w:rsidRPr="0028168B">
        <w:rPr>
          <w:b/>
          <w:bCs/>
        </w:rPr>
        <w:t>мещения в экстренных случаях использовались только по своему прямому назначению;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b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усовершенствовать</w:t>
      </w:r>
      <w:proofErr w:type="gramEnd"/>
      <w:r w:rsidRPr="0028168B">
        <w:rPr>
          <w:b/>
          <w:bCs/>
        </w:rPr>
        <w:t xml:space="preserve"> услуги, оказываемые просителям убежища в центре приема, включая медицинское обслуживание, социальное и пс</w:t>
      </w:r>
      <w:r w:rsidRPr="0028168B">
        <w:rPr>
          <w:b/>
          <w:bCs/>
        </w:rPr>
        <w:t>и</w:t>
      </w:r>
      <w:r w:rsidRPr="0028168B">
        <w:rPr>
          <w:b/>
          <w:bCs/>
        </w:rPr>
        <w:t>хологическое консультирование и языковую и профессиональную подг</w:t>
      </w:r>
      <w:r w:rsidRPr="0028168B">
        <w:rPr>
          <w:b/>
          <w:bCs/>
        </w:rPr>
        <w:t>о</w:t>
      </w:r>
      <w:r w:rsidRPr="0028168B">
        <w:rPr>
          <w:b/>
          <w:bCs/>
        </w:rPr>
        <w:t>товку, а также обеспечить наличие транспорта для перево</w:t>
      </w:r>
      <w:r w:rsidR="0028168B">
        <w:rPr>
          <w:b/>
          <w:bCs/>
        </w:rPr>
        <w:t>з</w:t>
      </w:r>
      <w:r w:rsidRPr="0028168B">
        <w:rPr>
          <w:b/>
          <w:bCs/>
        </w:rPr>
        <w:t>ки просителей убежища до рабочих мест;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c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обеспечить</w:t>
      </w:r>
      <w:proofErr w:type="gramEnd"/>
      <w:r w:rsidRPr="0028168B">
        <w:rPr>
          <w:b/>
          <w:bCs/>
        </w:rPr>
        <w:t xml:space="preserve"> полное признание особых потребностей женщин, детей и инвалидов в политике и программах, касающихся просителей уб</w:t>
      </w:r>
      <w:r w:rsidRPr="0028168B">
        <w:rPr>
          <w:b/>
          <w:bCs/>
        </w:rPr>
        <w:t>е</w:t>
      </w:r>
      <w:r w:rsidRPr="0028168B">
        <w:rPr>
          <w:b/>
          <w:bCs/>
        </w:rPr>
        <w:t>жища;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d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увеличить</w:t>
      </w:r>
      <w:proofErr w:type="gramEnd"/>
      <w:r w:rsidRPr="0028168B">
        <w:rPr>
          <w:b/>
          <w:bCs/>
        </w:rPr>
        <w:t xml:space="preserve"> объем пособий по социальной помощи, предоставл</w:t>
      </w:r>
      <w:r w:rsidRPr="0028168B">
        <w:rPr>
          <w:b/>
          <w:bCs/>
        </w:rPr>
        <w:t>я</w:t>
      </w:r>
      <w:r w:rsidRPr="0028168B">
        <w:rPr>
          <w:b/>
          <w:bCs/>
        </w:rPr>
        <w:t>емых просителям убежища, до уровня минимального гарантированного д</w:t>
      </w:r>
      <w:r w:rsidRPr="0028168B">
        <w:rPr>
          <w:b/>
          <w:bCs/>
        </w:rPr>
        <w:t>о</w:t>
      </w:r>
      <w:r w:rsidRPr="0028168B">
        <w:rPr>
          <w:b/>
          <w:bCs/>
        </w:rPr>
        <w:t>хода, с тем чтобы обеспечить для них достаточный жизненный уровень;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e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расширить</w:t>
      </w:r>
      <w:proofErr w:type="gramEnd"/>
      <w:r w:rsidRPr="0028168B">
        <w:rPr>
          <w:b/>
          <w:bCs/>
        </w:rPr>
        <w:t xml:space="preserve"> спектр рабочих мест и возможностей для труд</w:t>
      </w:r>
      <w:r w:rsidRPr="0028168B">
        <w:rPr>
          <w:b/>
          <w:bCs/>
        </w:rPr>
        <w:t>о</w:t>
      </w:r>
      <w:r w:rsidRPr="0028168B">
        <w:rPr>
          <w:b/>
          <w:bCs/>
        </w:rPr>
        <w:t>устройства, к которым просители убежища могут иметь доступ;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f</w:t>
      </w:r>
      <w:r w:rsidRPr="0028168B">
        <w:rPr>
          <w:b/>
        </w:rPr>
        <w:t>)</w:t>
      </w:r>
      <w:r w:rsidRPr="0028168B">
        <w:rPr>
          <w:b/>
        </w:rPr>
        <w:tab/>
      </w:r>
      <w:r w:rsidRPr="0028168B">
        <w:rPr>
          <w:b/>
          <w:bCs/>
        </w:rPr>
        <w:t>провести обзор своей политики задержания просителей убеж</w:t>
      </w:r>
      <w:r w:rsidRPr="0028168B">
        <w:rPr>
          <w:b/>
          <w:bCs/>
        </w:rPr>
        <w:t>и</w:t>
      </w:r>
      <w:r w:rsidRPr="0028168B">
        <w:rPr>
          <w:b/>
          <w:bCs/>
        </w:rPr>
        <w:t>ща в целях ограничения возможности их ареста только ситуациями, в к</w:t>
      </w:r>
      <w:r w:rsidRPr="0028168B">
        <w:rPr>
          <w:b/>
          <w:bCs/>
        </w:rPr>
        <w:t>о</w:t>
      </w:r>
      <w:r w:rsidRPr="0028168B">
        <w:rPr>
          <w:b/>
          <w:bCs/>
        </w:rPr>
        <w:t>торых э</w:t>
      </w:r>
      <w:r w:rsidRPr="00D74FA5">
        <w:rPr>
          <w:b/>
          <w:bCs/>
        </w:rPr>
        <w:t>то абсолютно необходимо, и сокращения времени, проводимого просителями убежища,</w:t>
      </w:r>
      <w:r w:rsidRPr="00D74FA5">
        <w:t xml:space="preserve"> </w:t>
      </w:r>
      <w:r w:rsidRPr="00D74FA5">
        <w:rPr>
          <w:b/>
          <w:bCs/>
        </w:rPr>
        <w:t>ходатайства которых были отклонены, в местах с</w:t>
      </w:r>
      <w:r w:rsidRPr="00D74FA5">
        <w:rPr>
          <w:b/>
          <w:bCs/>
        </w:rPr>
        <w:t>о</w:t>
      </w:r>
      <w:r w:rsidRPr="00D74FA5">
        <w:rPr>
          <w:b/>
          <w:bCs/>
        </w:rPr>
        <w:t>держания под стражей, до неизбежного минимума, а также применять в качестве правила соответствующие меры и альтернативы содержанию под стражей.</w:t>
      </w:r>
    </w:p>
    <w:p w:rsidR="00D74FA5" w:rsidRPr="00D74FA5" w:rsidRDefault="00D74FA5" w:rsidP="0028168B">
      <w:pPr>
        <w:pStyle w:val="H23GR"/>
      </w:pPr>
      <w:r w:rsidRPr="00D74FA5">
        <w:lastRenderedPageBreak/>
        <w:tab/>
      </w:r>
      <w:r w:rsidRPr="00D74FA5">
        <w:tab/>
        <w:t>Равенство между мужчинами и женщинами</w:t>
      </w:r>
    </w:p>
    <w:p w:rsidR="00D74FA5" w:rsidRPr="00D74FA5" w:rsidRDefault="00D74FA5" w:rsidP="00D74FA5">
      <w:pPr>
        <w:pStyle w:val="SingleTxtGR"/>
      </w:pPr>
      <w:r w:rsidRPr="00D74FA5">
        <w:t>17.</w:t>
      </w:r>
      <w:r w:rsidRPr="00D74FA5">
        <w:tab/>
        <w:t>Комитет обеспокоен значительным гендерным неравенством в сфере представленности на рынке труда и большим разрывом в оплате труда, об</w:t>
      </w:r>
      <w:r w:rsidRPr="00D74FA5">
        <w:t>у</w:t>
      </w:r>
      <w:r w:rsidRPr="00D74FA5">
        <w:t>словленным вертикальной и горизонтальной профессиональной сегрегацией по признаку пола. Кроме того, он озабочен тем, что</w:t>
      </w:r>
      <w:r w:rsidR="0028168B">
        <w:t>,</w:t>
      </w:r>
      <w:r w:rsidRPr="00D74FA5">
        <w:t xml:space="preserve"> несмотря на увеличение числа женщин в парламенте, они по-прежнему недостаточно представлены на руков</w:t>
      </w:r>
      <w:r w:rsidRPr="00D74FA5">
        <w:t>о</w:t>
      </w:r>
      <w:r w:rsidRPr="00D74FA5">
        <w:t xml:space="preserve">дящем </w:t>
      </w:r>
      <w:proofErr w:type="gramStart"/>
      <w:r w:rsidRPr="00D74FA5">
        <w:t>уровне</w:t>
      </w:r>
      <w:proofErr w:type="gramEnd"/>
      <w:r w:rsidRPr="00D74FA5">
        <w:t xml:space="preserve"> как в государственном, так и в частном секторе. Он сожалеет о недостаточности информации относительно представленности женщин на р</w:t>
      </w:r>
      <w:r w:rsidRPr="00D74FA5">
        <w:t>у</w:t>
      </w:r>
      <w:r w:rsidRPr="00D74FA5">
        <w:t>ководящем уровне в государственном секторе, включая исполнительную и с</w:t>
      </w:r>
      <w:r w:rsidRPr="00D74FA5">
        <w:t>у</w:t>
      </w:r>
      <w:r w:rsidRPr="00D74FA5">
        <w:t>дебную власть, и в частном секторе (статьи 3, 6 и 7).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18.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 того, чтобы</w:t>
      </w:r>
      <w:r w:rsidRPr="00D74FA5">
        <w:rPr>
          <w:rFonts w:hint="eastAsia"/>
          <w:b/>
          <w:bCs/>
        </w:rPr>
        <w:t>: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D74FA5">
        <w:tab/>
      </w:r>
      <w:r w:rsidRPr="0028168B">
        <w:rPr>
          <w:b/>
          <w:lang w:val="en-GB"/>
        </w:rPr>
        <w:t>a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повысить</w:t>
      </w:r>
      <w:proofErr w:type="gramEnd"/>
      <w:r w:rsidRPr="0028168B">
        <w:rPr>
          <w:b/>
          <w:bCs/>
        </w:rPr>
        <w:t xml:space="preserve"> уровень представленности женщин на рынке труда</w:t>
      </w:r>
      <w:r w:rsidRPr="0028168B">
        <w:rPr>
          <w:rFonts w:hint="eastAsia"/>
          <w:b/>
          <w:bCs/>
        </w:rPr>
        <w:t>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b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увеличить</w:t>
      </w:r>
      <w:proofErr w:type="gramEnd"/>
      <w:r w:rsidRPr="0028168B">
        <w:rPr>
          <w:b/>
          <w:bCs/>
        </w:rPr>
        <w:t xml:space="preserve"> представленность женщин на руководящих должн</w:t>
      </w:r>
      <w:r w:rsidRPr="0028168B">
        <w:rPr>
          <w:b/>
          <w:bCs/>
        </w:rPr>
        <w:t>о</w:t>
      </w:r>
      <w:r w:rsidRPr="0028168B">
        <w:rPr>
          <w:b/>
          <w:bCs/>
        </w:rPr>
        <w:t>стях в государственном секторе и поощрять более значительную предста</w:t>
      </w:r>
      <w:r w:rsidRPr="0028168B">
        <w:rPr>
          <w:b/>
          <w:bCs/>
        </w:rPr>
        <w:t>в</w:t>
      </w:r>
      <w:r w:rsidRPr="0028168B">
        <w:rPr>
          <w:b/>
          <w:bCs/>
        </w:rPr>
        <w:t>ленность женщин на должностях старшего уровня в частном секторе</w:t>
      </w:r>
      <w:r w:rsidRPr="0028168B">
        <w:rPr>
          <w:rFonts w:hint="eastAsia"/>
          <w:b/>
          <w:bCs/>
        </w:rPr>
        <w:t>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c</w:t>
      </w:r>
      <w:r w:rsidRPr="0028168B">
        <w:rPr>
          <w:b/>
        </w:rPr>
        <w:t>)</w:t>
      </w:r>
      <w:r w:rsidRPr="0028168B">
        <w:rPr>
          <w:b/>
        </w:rPr>
        <w:tab/>
      </w:r>
      <w:r w:rsidRPr="0028168B">
        <w:rPr>
          <w:b/>
          <w:bCs/>
        </w:rPr>
        <w:t>принять эффективные меры для ликвидации разрыва в оплате труда между мужчинами и женщинами, в том числе посредством усиления применения Закона 2014 года о получении мужчинами и женщинами ра</w:t>
      </w:r>
      <w:r w:rsidRPr="0028168B">
        <w:rPr>
          <w:b/>
          <w:bCs/>
        </w:rPr>
        <w:t>в</w:t>
      </w:r>
      <w:r w:rsidRPr="0028168B">
        <w:rPr>
          <w:b/>
          <w:bCs/>
        </w:rPr>
        <w:t>ной оплаты за равный труд или труд равной ценности (поправка)</w:t>
      </w:r>
      <w:r w:rsidRPr="0028168B">
        <w:rPr>
          <w:rFonts w:hint="eastAsia"/>
          <w:b/>
          <w:bCs/>
        </w:rPr>
        <w:t>;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d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обе</w:t>
      </w:r>
      <w:r w:rsidRPr="00D74FA5">
        <w:rPr>
          <w:b/>
          <w:bCs/>
        </w:rPr>
        <w:t>спечить</w:t>
      </w:r>
      <w:proofErr w:type="gramEnd"/>
      <w:r w:rsidRPr="00D74FA5">
        <w:rPr>
          <w:b/>
          <w:bCs/>
        </w:rPr>
        <w:t xml:space="preserve"> полное осуществление мер, изложенных в Наци</w:t>
      </w:r>
      <w:r w:rsidRPr="00D74FA5">
        <w:rPr>
          <w:b/>
          <w:bCs/>
        </w:rPr>
        <w:t>о</w:t>
      </w:r>
      <w:r w:rsidRPr="00D74FA5">
        <w:rPr>
          <w:b/>
          <w:bCs/>
        </w:rPr>
        <w:t>нальном плане действий в области гендерного равенства на 2014–2017 годы.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Право на труд</w:t>
      </w:r>
    </w:p>
    <w:p w:rsidR="00D74FA5" w:rsidRPr="00D74FA5" w:rsidRDefault="00D74FA5" w:rsidP="00D74FA5">
      <w:pPr>
        <w:pStyle w:val="SingleTxtGR"/>
      </w:pPr>
      <w:r w:rsidRPr="00D74FA5">
        <w:t>19.</w:t>
      </w:r>
      <w:r w:rsidRPr="00D74FA5">
        <w:tab/>
        <w:t>Комитет обеспокоен сохраняющимся высоким уровнем безработицы, н</w:t>
      </w:r>
      <w:r w:rsidRPr="00D74FA5">
        <w:t>е</w:t>
      </w:r>
      <w:r w:rsidRPr="00D74FA5">
        <w:t>смотря на значительное улучшение ситуации в сфере занятости в течение п</w:t>
      </w:r>
      <w:r w:rsidRPr="00D74FA5">
        <w:t>о</w:t>
      </w:r>
      <w:r w:rsidRPr="00D74FA5">
        <w:t>следних двух лет. Он особенно озабочен высоким показателем безработицы среди молодежи и большим числом длительно безработных лиц. Он сожалеет об отсутствии информации о выполнении Закона 2009</w:t>
      </w:r>
      <w:r w:rsidRPr="00D74FA5">
        <w:rPr>
          <w:lang w:val="en-US"/>
        </w:rPr>
        <w:t> </w:t>
      </w:r>
      <w:r w:rsidRPr="00D74FA5">
        <w:t>года о найме инвалидов в более широких масштабах государственного с</w:t>
      </w:r>
      <w:r w:rsidR="00CF52A7">
        <w:t>ектора (особые правила) (ст</w:t>
      </w:r>
      <w:r w:rsidR="00CF52A7">
        <w:t>а</w:t>
      </w:r>
      <w:r w:rsidR="00CF52A7">
        <w:t>тья </w:t>
      </w:r>
      <w:r w:rsidRPr="00D74FA5">
        <w:t>6).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20.</w:t>
      </w:r>
      <w:r w:rsidRPr="00D74FA5">
        <w:tab/>
      </w:r>
      <w:r w:rsidRPr="00D74FA5">
        <w:rPr>
          <w:b/>
          <w:bCs/>
        </w:rPr>
        <w:t>Комитет рекомендует государству-участнику</w:t>
      </w:r>
      <w:r w:rsidRPr="00D74FA5">
        <w:rPr>
          <w:rFonts w:hint="eastAsia"/>
          <w:b/>
          <w:bCs/>
        </w:rPr>
        <w:t xml:space="preserve"> </w:t>
      </w:r>
      <w:r w:rsidRPr="00D74FA5">
        <w:rPr>
          <w:b/>
          <w:bCs/>
        </w:rPr>
        <w:t>активизировать усилия по сокращению безработицы, в том числе путем сохранения приоритетн</w:t>
      </w:r>
      <w:r w:rsidRPr="00D74FA5">
        <w:rPr>
          <w:b/>
          <w:bCs/>
        </w:rPr>
        <w:t>о</w:t>
      </w:r>
      <w:r w:rsidRPr="00D74FA5">
        <w:rPr>
          <w:b/>
          <w:bCs/>
        </w:rPr>
        <w:t xml:space="preserve">сти надлежащей профессиональной подготовки, особенно для длительно безработных лиц, с </w:t>
      </w:r>
      <w:proofErr w:type="gramStart"/>
      <w:r w:rsidRPr="00D74FA5">
        <w:rPr>
          <w:b/>
          <w:bCs/>
        </w:rPr>
        <w:t>тем</w:t>
      </w:r>
      <w:proofErr w:type="gramEnd"/>
      <w:r w:rsidRPr="00D74FA5">
        <w:rPr>
          <w:b/>
          <w:bCs/>
        </w:rPr>
        <w:t xml:space="preserve"> чтобы укрепить </w:t>
      </w:r>
      <w:r w:rsidR="00CF52A7">
        <w:rPr>
          <w:b/>
          <w:bCs/>
        </w:rPr>
        <w:t>их положение на рынке труда. Он </w:t>
      </w:r>
      <w:r w:rsidRPr="00D74FA5">
        <w:rPr>
          <w:b/>
          <w:bCs/>
        </w:rPr>
        <w:t>рекомендует также государству-участнику продолжать активизировать действия по борьбе с безработицей среди молодежи, особенно посредством эффективной ре</w:t>
      </w:r>
      <w:bookmarkStart w:id="2" w:name="_GoBack"/>
      <w:bookmarkEnd w:id="2"/>
      <w:r w:rsidRPr="00D74FA5">
        <w:rPr>
          <w:b/>
          <w:bCs/>
        </w:rPr>
        <w:t>ализации Национального плана действий в области труд</w:t>
      </w:r>
      <w:r w:rsidRPr="00D74FA5">
        <w:rPr>
          <w:b/>
          <w:bCs/>
        </w:rPr>
        <w:t>о</w:t>
      </w:r>
      <w:r w:rsidRPr="00D74FA5">
        <w:rPr>
          <w:b/>
          <w:bCs/>
        </w:rPr>
        <w:t xml:space="preserve">устройства молодежи на </w:t>
      </w:r>
      <w:r w:rsidRPr="00D74FA5">
        <w:rPr>
          <w:rFonts w:hint="eastAsia"/>
          <w:b/>
          <w:bCs/>
        </w:rPr>
        <w:t>2015</w:t>
      </w:r>
      <w:r w:rsidRPr="00D74FA5">
        <w:rPr>
          <w:b/>
          <w:bCs/>
        </w:rPr>
        <w:t>–</w:t>
      </w:r>
      <w:r w:rsidRPr="00D74FA5">
        <w:rPr>
          <w:rFonts w:hint="eastAsia"/>
          <w:b/>
          <w:bCs/>
        </w:rPr>
        <w:t>2017</w:t>
      </w:r>
      <w:r w:rsidRPr="00D74FA5">
        <w:rPr>
          <w:b/>
          <w:bCs/>
        </w:rPr>
        <w:t> годы. Он просит государство-участник представить в его следующем периодическом докладе информацию о зан</w:t>
      </w:r>
      <w:r w:rsidRPr="00D74FA5">
        <w:rPr>
          <w:b/>
          <w:bCs/>
        </w:rPr>
        <w:t>я</w:t>
      </w:r>
      <w:r w:rsidRPr="00D74FA5">
        <w:rPr>
          <w:b/>
          <w:bCs/>
        </w:rPr>
        <w:t>тости инвалидов, в том числе об итогах выполнения Закона о найме инв</w:t>
      </w:r>
      <w:r w:rsidRPr="00D74FA5">
        <w:rPr>
          <w:b/>
          <w:bCs/>
        </w:rPr>
        <w:t>а</w:t>
      </w:r>
      <w:r w:rsidRPr="00D74FA5">
        <w:rPr>
          <w:b/>
          <w:bCs/>
        </w:rPr>
        <w:t>лидов в широких масштабах государственного сектора (особые правила).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Незарегистрированные работники</w:t>
      </w:r>
    </w:p>
    <w:p w:rsidR="00D74FA5" w:rsidRPr="00D74FA5" w:rsidRDefault="00D74FA5" w:rsidP="00D74FA5">
      <w:pPr>
        <w:pStyle w:val="SingleTxtGR"/>
      </w:pPr>
      <w:r w:rsidRPr="00D74FA5">
        <w:t>21.</w:t>
      </w:r>
      <w:r w:rsidRPr="00D74FA5">
        <w:tab/>
        <w:t>Отмечая, что доля незарегистрированных работников достигает порядка 17% от общего объема рабочей силы, согласно оценке государства-участника, основанной на полученных им жалобах, Комитет, тем не менее, обеспокоен о</w:t>
      </w:r>
      <w:r w:rsidRPr="00D74FA5">
        <w:t>т</w:t>
      </w:r>
      <w:r w:rsidR="0028168B">
        <w:t>сутствием у г</w:t>
      </w:r>
      <w:r w:rsidRPr="00D74FA5">
        <w:t xml:space="preserve">осударства-участника всеобъемлющей информации о положении </w:t>
      </w:r>
      <w:r w:rsidRPr="00D74FA5">
        <w:lastRenderedPageBreak/>
        <w:t>трудящихся, на которых не распространяются трудовое законодательство и с</w:t>
      </w:r>
      <w:r w:rsidRPr="00D74FA5">
        <w:t>о</w:t>
      </w:r>
      <w:r w:rsidRPr="00D74FA5">
        <w:t>циальная защита (статьи 6 и 7).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22.</w:t>
      </w:r>
      <w:r w:rsidRPr="00D74FA5">
        <w:tab/>
      </w:r>
      <w:proofErr w:type="gramStart"/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 защиты всех трудящихся, в том числе посредством провед</w:t>
      </w:r>
      <w:r w:rsidRPr="00D74FA5">
        <w:rPr>
          <w:b/>
          <w:bCs/>
        </w:rPr>
        <w:t>е</w:t>
      </w:r>
      <w:r w:rsidRPr="00D74FA5">
        <w:rPr>
          <w:b/>
          <w:bCs/>
        </w:rPr>
        <w:t>ния общенационального обследования в отношении масштабов и характ</w:t>
      </w:r>
      <w:r w:rsidRPr="00D74FA5">
        <w:rPr>
          <w:b/>
          <w:bCs/>
        </w:rPr>
        <w:t>е</w:t>
      </w:r>
      <w:r w:rsidRPr="00D74FA5">
        <w:rPr>
          <w:b/>
          <w:bCs/>
        </w:rPr>
        <w:t>ра работы без надлежащего оформления, разработки эффективных закон</w:t>
      </w:r>
      <w:r w:rsidRPr="00D74FA5">
        <w:rPr>
          <w:b/>
          <w:bCs/>
        </w:rPr>
        <w:t>о</w:t>
      </w:r>
      <w:r w:rsidRPr="00D74FA5">
        <w:rPr>
          <w:b/>
          <w:bCs/>
        </w:rPr>
        <w:t>дательных мер и мер политики, обеспечивающих для всех трудящихся справедливые и благоприятные условия труда и надлежащую социальную защиту, и укрепления механизмов подачи жалоб и проведения трудовых инспекций для защиты этих прав</w:t>
      </w:r>
      <w:proofErr w:type="gramEnd"/>
      <w:r w:rsidRPr="00D74FA5">
        <w:rPr>
          <w:b/>
          <w:bCs/>
        </w:rPr>
        <w:t>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Минимальная оплата труда</w:t>
      </w:r>
    </w:p>
    <w:p w:rsidR="00D74FA5" w:rsidRPr="00D74FA5" w:rsidRDefault="00D74FA5" w:rsidP="00D74FA5">
      <w:pPr>
        <w:pStyle w:val="SingleTxtGR"/>
      </w:pPr>
      <w:r w:rsidRPr="00D74FA5">
        <w:t>23.</w:t>
      </w:r>
      <w:r w:rsidRPr="00D74FA5">
        <w:tab/>
        <w:t>Комитет обеспокоен очень низким уровнем распространенности (13%) минимальной оплаты труда среди рабочей силы и недостаточным уровнем м</w:t>
      </w:r>
      <w:r w:rsidRPr="00D74FA5">
        <w:t>и</w:t>
      </w:r>
      <w:r w:rsidRPr="00D74FA5">
        <w:t>нимальной оплаты труда, который остается замороженным с 2012</w:t>
      </w:r>
      <w:r w:rsidRPr="00D74FA5">
        <w:rPr>
          <w:lang w:val="en-US"/>
        </w:rPr>
        <w:t> </w:t>
      </w:r>
      <w:r w:rsidR="00CF52A7">
        <w:t>года (ст</w:t>
      </w:r>
      <w:r w:rsidR="00CF52A7">
        <w:t>а</w:t>
      </w:r>
      <w:r w:rsidR="00CF52A7">
        <w:t>тья </w:t>
      </w:r>
      <w:r w:rsidRPr="00D74FA5">
        <w:t>7).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24.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необходимые меры для охвата минимальной оплатой труда всех трудящихся, имеющих на нее право. Он также рекомендует государству-участнику увеличить м</w:t>
      </w:r>
      <w:r w:rsidRPr="00D74FA5">
        <w:rPr>
          <w:b/>
          <w:bCs/>
        </w:rPr>
        <w:t>и</w:t>
      </w:r>
      <w:r w:rsidRPr="00D74FA5">
        <w:rPr>
          <w:b/>
          <w:bCs/>
        </w:rPr>
        <w:t xml:space="preserve">нимальный размер оплаты труда и регулярно корректировать его с учетом стоимости жизни, с </w:t>
      </w:r>
      <w:proofErr w:type="gramStart"/>
      <w:r w:rsidRPr="00D74FA5">
        <w:rPr>
          <w:b/>
          <w:bCs/>
        </w:rPr>
        <w:t>тем</w:t>
      </w:r>
      <w:proofErr w:type="gramEnd"/>
      <w:r w:rsidRPr="00D74FA5">
        <w:rPr>
          <w:b/>
          <w:bCs/>
        </w:rPr>
        <w:t xml:space="preserve"> чтобы обеспечить для трудящихся и их семьей д</w:t>
      </w:r>
      <w:r w:rsidRPr="00D74FA5">
        <w:rPr>
          <w:b/>
          <w:bCs/>
        </w:rPr>
        <w:t>о</w:t>
      </w:r>
      <w:r w:rsidRPr="00D74FA5">
        <w:rPr>
          <w:b/>
          <w:bCs/>
        </w:rPr>
        <w:t>статочный жизненный уровень. Комитет обращает внимание государства-участника на свое замечание общего порядка № 23 (2016 год) о праве на справедливые и благоприятные условия труда.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Право на справедливые и благоприятные условия труда</w:t>
      </w:r>
    </w:p>
    <w:p w:rsidR="00D74FA5" w:rsidRPr="00D74FA5" w:rsidRDefault="00D74FA5" w:rsidP="00D74FA5">
      <w:pPr>
        <w:pStyle w:val="SingleTxtGR"/>
      </w:pPr>
      <w:r w:rsidRPr="00D74FA5">
        <w:t>25.</w:t>
      </w:r>
      <w:r w:rsidRPr="00D74FA5">
        <w:tab/>
        <w:t>Хотя вопросы, связанные с оплатой и условиями труда, решаются гла</w:t>
      </w:r>
      <w:r w:rsidRPr="00D74FA5">
        <w:t>в</w:t>
      </w:r>
      <w:r w:rsidRPr="00D74FA5">
        <w:t>ным образом с помощью коллективных соглашений, достигнутых путем тре</w:t>
      </w:r>
      <w:r w:rsidRPr="00D74FA5">
        <w:t>х</w:t>
      </w:r>
      <w:r w:rsidRPr="00D74FA5">
        <w:t>стороннего социального диалога, число подобных соглашений уменьшается, и Комитет обеспокоен ограниченностью правового регулирования трудовых о</w:t>
      </w:r>
      <w:r w:rsidRPr="00D74FA5">
        <w:t>т</w:t>
      </w:r>
      <w:r w:rsidRPr="00D74FA5">
        <w:t>ношений. Кроме того, он озабочен снижением показателя охвата профсоюзами и отсутствием подробной информации о том, каким образом защищаются права трудящихся, не входящих в профсоюзы (статьи 7 и 8).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26.</w:t>
      </w:r>
      <w:r w:rsidRPr="00D74FA5">
        <w:tab/>
      </w:r>
      <w:r w:rsidRPr="00D74FA5">
        <w:rPr>
          <w:b/>
          <w:bCs/>
        </w:rPr>
        <w:t>Комитет рекомендует государству-участнику</w:t>
      </w:r>
      <w:r w:rsidRPr="00D74FA5">
        <w:rPr>
          <w:rFonts w:hint="eastAsia"/>
          <w:b/>
          <w:bCs/>
        </w:rPr>
        <w:t xml:space="preserve"> </w:t>
      </w:r>
      <w:r w:rsidRPr="00D74FA5">
        <w:rPr>
          <w:b/>
          <w:bCs/>
        </w:rPr>
        <w:t>включить трудовые права, закрепленные в Пакте, в его законодательство, обеспечить соотве</w:t>
      </w:r>
      <w:r w:rsidRPr="00D74FA5">
        <w:rPr>
          <w:b/>
          <w:bCs/>
        </w:rPr>
        <w:t>т</w:t>
      </w:r>
      <w:r w:rsidRPr="00D74FA5">
        <w:rPr>
          <w:b/>
          <w:bCs/>
        </w:rPr>
        <w:t>ствие коллективных соглашений этим правам и принять все необходимые меры для гарантирования полной защиты трудовых прав как входящих, так и не входящих в профсоюзы сотрудников, включая право на справе</w:t>
      </w:r>
      <w:r w:rsidRPr="00D74FA5">
        <w:rPr>
          <w:b/>
          <w:bCs/>
        </w:rPr>
        <w:t>д</w:t>
      </w:r>
      <w:r w:rsidRPr="00D74FA5">
        <w:rPr>
          <w:b/>
          <w:bCs/>
        </w:rPr>
        <w:t>ливые и благоприятные условия труда.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Трудящиеся-мигранты</w:t>
      </w:r>
    </w:p>
    <w:p w:rsidR="00D74FA5" w:rsidRPr="00D74FA5" w:rsidRDefault="00D74FA5" w:rsidP="00D74FA5">
      <w:pPr>
        <w:pStyle w:val="SingleTxtGR"/>
      </w:pPr>
      <w:r w:rsidRPr="00D74FA5">
        <w:t>27.</w:t>
      </w:r>
      <w:r w:rsidRPr="00D74FA5">
        <w:tab/>
        <w:t>Комитет вновь заявляет о своей обеспокоенности тем, что мигранты из стран, не входящих в Европейский союз, особенно занятые в фермерском и сельскохозяйственном секторах, по-прежнему подвергаются трудовой эксплу</w:t>
      </w:r>
      <w:r w:rsidRPr="00D74FA5">
        <w:t>а</w:t>
      </w:r>
      <w:r w:rsidRPr="00D74FA5">
        <w:t>тации и социальной изоляции. Он озабочен нестабильным положением труд</w:t>
      </w:r>
      <w:r w:rsidRPr="00D74FA5">
        <w:t>я</w:t>
      </w:r>
      <w:r w:rsidRPr="00D74FA5">
        <w:t>щихся, работающих в качестве домашней прислуги, большинство из которых составляют женщины из стран, не входящих в Европейский союз, а также о</w:t>
      </w:r>
      <w:r w:rsidRPr="00D74FA5">
        <w:t>т</w:t>
      </w:r>
      <w:r w:rsidRPr="00D74FA5">
        <w:t>сутствием трудовых инспекций для мониторинга условий их труда. Комитет сожалеет по поводу отсутствия у государства-участника намерения легализ</w:t>
      </w:r>
      <w:r w:rsidRPr="00D74FA5">
        <w:t>о</w:t>
      </w:r>
      <w:r w:rsidRPr="00D74FA5">
        <w:lastRenderedPageBreak/>
        <w:t>вать положение трудящихся-мигрантов, не имеющих документов, и информ</w:t>
      </w:r>
      <w:r w:rsidRPr="00D74FA5">
        <w:t>а</w:t>
      </w:r>
      <w:r w:rsidRPr="00D74FA5">
        <w:t>ции об их положении в государстве-участнике (статьи 2 2), 6 и 7).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28.</w:t>
      </w:r>
      <w:r w:rsidRPr="00D74FA5">
        <w:tab/>
      </w:r>
      <w:r w:rsidRPr="00D74FA5">
        <w:rPr>
          <w:b/>
          <w:bCs/>
        </w:rPr>
        <w:t>Комитет рекомендует государству-участнику: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a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обеспечить</w:t>
      </w:r>
      <w:proofErr w:type="gramEnd"/>
      <w:r w:rsidRPr="0028168B">
        <w:rPr>
          <w:b/>
          <w:bCs/>
        </w:rPr>
        <w:t xml:space="preserve"> адекватное и регулярное регулирование и инспе</w:t>
      </w:r>
      <w:r w:rsidRPr="0028168B">
        <w:rPr>
          <w:b/>
          <w:bCs/>
        </w:rPr>
        <w:t>к</w:t>
      </w:r>
      <w:r w:rsidRPr="0028168B">
        <w:rPr>
          <w:b/>
          <w:bCs/>
        </w:rPr>
        <w:t>тирование условий занятости и труда трудящихся-мигрантов;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b</w:t>
      </w:r>
      <w:r w:rsidRPr="0028168B">
        <w:rPr>
          <w:b/>
        </w:rPr>
        <w:t>)</w:t>
      </w:r>
      <w:r w:rsidRPr="0028168B">
        <w:rPr>
          <w:b/>
        </w:rPr>
        <w:tab/>
      </w:r>
      <w:r w:rsidRPr="0028168B">
        <w:rPr>
          <w:b/>
          <w:bCs/>
        </w:rPr>
        <w:t>обеспечить применение Закона 2002 года об одинаковом обр</w:t>
      </w:r>
      <w:r w:rsidRPr="0028168B">
        <w:rPr>
          <w:b/>
          <w:bCs/>
        </w:rPr>
        <w:t>а</w:t>
      </w:r>
      <w:r w:rsidRPr="0028168B">
        <w:rPr>
          <w:b/>
          <w:bCs/>
        </w:rPr>
        <w:t>щении с мужчинами и женщинами в сфере трудоустройства и професси</w:t>
      </w:r>
      <w:r w:rsidRPr="0028168B">
        <w:rPr>
          <w:b/>
          <w:bCs/>
        </w:rPr>
        <w:t>о</w:t>
      </w:r>
      <w:r w:rsidRPr="0028168B">
        <w:rPr>
          <w:b/>
          <w:bCs/>
        </w:rPr>
        <w:t xml:space="preserve">нальной подготовки (поправка) и Закона 2011 года о гигиене труда и </w:t>
      </w:r>
      <w:r w:rsidR="00395757">
        <w:rPr>
          <w:b/>
          <w:bCs/>
        </w:rPr>
        <w:br/>
      </w:r>
      <w:r w:rsidRPr="0028168B">
        <w:rPr>
          <w:b/>
          <w:bCs/>
        </w:rPr>
        <w:t>безопасности на рабочем месте (поправка) к работе в качестве домашней прислуги;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c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ускорить</w:t>
      </w:r>
      <w:proofErr w:type="gramEnd"/>
      <w:r w:rsidRPr="0028168B">
        <w:rPr>
          <w:b/>
          <w:bCs/>
        </w:rPr>
        <w:t xml:space="preserve"> принятие национального плана действий по интегр</w:t>
      </w:r>
      <w:r w:rsidRPr="0028168B">
        <w:rPr>
          <w:b/>
          <w:bCs/>
        </w:rPr>
        <w:t>а</w:t>
      </w:r>
      <w:r w:rsidRPr="0028168B">
        <w:rPr>
          <w:b/>
          <w:bCs/>
        </w:rPr>
        <w:t>ции легально проживающих на Кипре мигрантов, изначально рассчита</w:t>
      </w:r>
      <w:r w:rsidRPr="0028168B">
        <w:rPr>
          <w:b/>
          <w:bCs/>
        </w:rPr>
        <w:t>н</w:t>
      </w:r>
      <w:r w:rsidRPr="0028168B">
        <w:rPr>
          <w:b/>
          <w:bCs/>
        </w:rPr>
        <w:t>ного на 2014–2016 годы, и полностью реализовать его после принятия;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d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пересмотреть</w:t>
      </w:r>
      <w:proofErr w:type="gramEnd"/>
      <w:r w:rsidRPr="0028168B">
        <w:rPr>
          <w:b/>
          <w:bCs/>
        </w:rPr>
        <w:t xml:space="preserve"> его позицию в отношении легализации мигра</w:t>
      </w:r>
      <w:r w:rsidRPr="0028168B">
        <w:rPr>
          <w:b/>
          <w:bCs/>
        </w:rPr>
        <w:t>н</w:t>
      </w:r>
      <w:r w:rsidRPr="0028168B">
        <w:rPr>
          <w:b/>
          <w:bCs/>
        </w:rPr>
        <w:t>тов, не име</w:t>
      </w:r>
      <w:r w:rsidRPr="00D74FA5">
        <w:rPr>
          <w:b/>
          <w:bCs/>
        </w:rPr>
        <w:t>ющих документов, и представить в своем следующем период</w:t>
      </w:r>
      <w:r w:rsidRPr="00D74FA5">
        <w:rPr>
          <w:b/>
          <w:bCs/>
        </w:rPr>
        <w:t>и</w:t>
      </w:r>
      <w:r w:rsidRPr="00D74FA5">
        <w:rPr>
          <w:b/>
          <w:bCs/>
        </w:rPr>
        <w:t>ческом докладе информацию о положении мигрантов, не имеющих док</w:t>
      </w:r>
      <w:r w:rsidRPr="00D74FA5">
        <w:rPr>
          <w:b/>
          <w:bCs/>
        </w:rPr>
        <w:t>у</w:t>
      </w:r>
      <w:r w:rsidRPr="00D74FA5">
        <w:rPr>
          <w:b/>
          <w:bCs/>
        </w:rPr>
        <w:t>ментов, и о мерах, принятых для защиты их экономических, социальных и культурных прав.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Гарантированный минимальный доход</w:t>
      </w:r>
    </w:p>
    <w:p w:rsidR="00D74FA5" w:rsidRPr="00D74FA5" w:rsidRDefault="00D74FA5" w:rsidP="00D74FA5">
      <w:pPr>
        <w:pStyle w:val="SingleTxtGR"/>
      </w:pPr>
      <w:r w:rsidRPr="00D74FA5">
        <w:t>29.</w:t>
      </w:r>
      <w:r w:rsidRPr="00D74FA5">
        <w:tab/>
        <w:t>Комитет с большим интересом отмечает, что государство-участник реш</w:t>
      </w:r>
      <w:r w:rsidRPr="00D74FA5">
        <w:t>и</w:t>
      </w:r>
      <w:r w:rsidRPr="00D74FA5">
        <w:t>ло предпринять инновационный шаг, включив программы государственной п</w:t>
      </w:r>
      <w:r w:rsidRPr="00D74FA5">
        <w:t>о</w:t>
      </w:r>
      <w:r w:rsidRPr="00D74FA5">
        <w:t xml:space="preserve">мощи в рамки гарантированного минимального дохода. Тем не </w:t>
      </w:r>
      <w:proofErr w:type="gramStart"/>
      <w:r w:rsidRPr="00D74FA5">
        <w:t>менее</w:t>
      </w:r>
      <w:proofErr w:type="gramEnd"/>
      <w:r w:rsidRPr="00D74FA5">
        <w:t xml:space="preserve"> Комитет обеспокоен по поводу: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a</w:t>
      </w:r>
      <w:r w:rsidRPr="00D74FA5">
        <w:t>)</w:t>
      </w:r>
      <w:r w:rsidRPr="00D74FA5">
        <w:tab/>
      </w:r>
      <w:proofErr w:type="gramStart"/>
      <w:r w:rsidRPr="00D74FA5">
        <w:t>недостаточного</w:t>
      </w:r>
      <w:proofErr w:type="gramEnd"/>
      <w:r w:rsidRPr="00D74FA5">
        <w:t xml:space="preserve"> уровня пособия, который не гарантирует бенеф</w:t>
      </w:r>
      <w:r w:rsidRPr="00D74FA5">
        <w:t>и</w:t>
      </w:r>
      <w:r w:rsidRPr="00D74FA5">
        <w:t>циарам и их семьям достаточного жизненного уровня;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b</w:t>
      </w:r>
      <w:r w:rsidRPr="00D74FA5">
        <w:t>)</w:t>
      </w:r>
      <w:r w:rsidRPr="00D74FA5">
        <w:tab/>
      </w:r>
      <w:proofErr w:type="gramStart"/>
      <w:r w:rsidRPr="00D74FA5">
        <w:t>исключения</w:t>
      </w:r>
      <w:proofErr w:type="gramEnd"/>
      <w:r w:rsidRPr="00D74FA5">
        <w:t xml:space="preserve"> из существующих программ государственной помощи бенефициаров, которые не имеют права на гарантированный минимальный д</w:t>
      </w:r>
      <w:r w:rsidRPr="00D74FA5">
        <w:t>о</w:t>
      </w:r>
      <w:r w:rsidRPr="00D74FA5">
        <w:t>ход, однако по-прежнему нуждаются в социальной поддержке;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c</w:t>
      </w:r>
      <w:r w:rsidRPr="00D74FA5">
        <w:t>)</w:t>
      </w:r>
      <w:r w:rsidRPr="00D74FA5">
        <w:tab/>
      </w:r>
      <w:proofErr w:type="gramStart"/>
      <w:r w:rsidRPr="00D74FA5">
        <w:t>ненадлежащего</w:t>
      </w:r>
      <w:proofErr w:type="gramEnd"/>
      <w:r w:rsidRPr="00D74FA5">
        <w:t xml:space="preserve"> использования работодателями концепции мин</w:t>
      </w:r>
      <w:r w:rsidRPr="00D74FA5">
        <w:t>и</w:t>
      </w:r>
      <w:r w:rsidRPr="00D74FA5">
        <w:t>мального дохода с целью снижения заработной платы трудящихся, вынужде</w:t>
      </w:r>
      <w:r w:rsidRPr="00D74FA5">
        <w:t>н</w:t>
      </w:r>
      <w:r w:rsidRPr="00D74FA5">
        <w:t>ных работать в опасных условиях, в частности граждан стран, не входящих в Европейский союз, и низкооплачиваемых сотрудников;</w:t>
      </w:r>
    </w:p>
    <w:p w:rsidR="00D74FA5" w:rsidRPr="00D74FA5" w:rsidRDefault="00D74FA5" w:rsidP="00D74FA5">
      <w:pPr>
        <w:pStyle w:val="SingleTxtGR"/>
      </w:pPr>
      <w:r w:rsidRPr="00D74FA5">
        <w:tab/>
      </w:r>
      <w:r w:rsidRPr="00D74FA5">
        <w:rPr>
          <w:lang w:val="en-GB"/>
        </w:rPr>
        <w:t>d</w:t>
      </w:r>
      <w:r w:rsidRPr="00D74FA5">
        <w:t>)</w:t>
      </w:r>
      <w:r w:rsidRPr="00D74FA5">
        <w:tab/>
      </w:r>
      <w:proofErr w:type="gramStart"/>
      <w:r w:rsidRPr="00D74FA5">
        <w:t>сложной</w:t>
      </w:r>
      <w:proofErr w:type="gramEnd"/>
      <w:r w:rsidRPr="00D74FA5">
        <w:t xml:space="preserve"> бюрократической процедуры подачи соответствующего ходатайства (статья 9).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30.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 того, чтобы: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a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повышать</w:t>
      </w:r>
      <w:proofErr w:type="gramEnd"/>
      <w:r w:rsidRPr="0028168B">
        <w:rPr>
          <w:b/>
          <w:bCs/>
        </w:rPr>
        <w:t xml:space="preserve"> и периодически пересматривать размер гарантир</w:t>
      </w:r>
      <w:r w:rsidRPr="0028168B">
        <w:rPr>
          <w:b/>
          <w:bCs/>
        </w:rPr>
        <w:t>о</w:t>
      </w:r>
      <w:r w:rsidRPr="0028168B">
        <w:rPr>
          <w:b/>
          <w:bCs/>
        </w:rPr>
        <w:t>ванного минимального дохода, с тем чтобы обеспечить бенефициарам и их семьям достаточный жизненный уровень;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b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обеспечить</w:t>
      </w:r>
      <w:proofErr w:type="gramEnd"/>
      <w:r w:rsidRPr="0028168B">
        <w:rPr>
          <w:b/>
          <w:bCs/>
        </w:rPr>
        <w:t>, чтобы те, кто не имеет права на гарантированный минимальный доход, но по-прежнему нуждается в социальной поддержке, не оставались без надлежащей помощи;</w:t>
      </w:r>
    </w:p>
    <w:p w:rsidR="00D74FA5" w:rsidRPr="0028168B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c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  <w:bCs/>
        </w:rPr>
        <w:t>осуществлять</w:t>
      </w:r>
      <w:proofErr w:type="gramEnd"/>
      <w:r w:rsidRPr="0028168B">
        <w:rPr>
          <w:b/>
          <w:bCs/>
        </w:rPr>
        <w:t xml:space="preserve"> мониторинг работодателей для обеспечения того, чтобы существование гарантированного минимального дохода не оказыв</w:t>
      </w:r>
      <w:r w:rsidRPr="0028168B">
        <w:rPr>
          <w:b/>
          <w:bCs/>
        </w:rPr>
        <w:t>а</w:t>
      </w:r>
      <w:r w:rsidRPr="0028168B">
        <w:rPr>
          <w:b/>
          <w:bCs/>
        </w:rPr>
        <w:lastRenderedPageBreak/>
        <w:t>ло отрицательного влияния на заработную плату трудящихся, вынужде</w:t>
      </w:r>
      <w:r w:rsidRPr="0028168B">
        <w:rPr>
          <w:b/>
          <w:bCs/>
        </w:rPr>
        <w:t>н</w:t>
      </w:r>
      <w:r w:rsidRPr="0028168B">
        <w:rPr>
          <w:b/>
          <w:bCs/>
        </w:rPr>
        <w:t>ных работать в опасных условиях;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28168B">
        <w:rPr>
          <w:b/>
        </w:rPr>
        <w:tab/>
      </w:r>
      <w:r w:rsidRPr="0028168B">
        <w:rPr>
          <w:b/>
          <w:lang w:val="en-GB"/>
        </w:rPr>
        <w:t>d</w:t>
      </w:r>
      <w:r w:rsidRPr="0028168B">
        <w:rPr>
          <w:b/>
        </w:rPr>
        <w:t>)</w:t>
      </w:r>
      <w:r w:rsidRPr="0028168B">
        <w:rPr>
          <w:b/>
        </w:rPr>
        <w:tab/>
      </w:r>
      <w:proofErr w:type="gramStart"/>
      <w:r w:rsidRPr="0028168B">
        <w:rPr>
          <w:b/>
        </w:rPr>
        <w:t>сок</w:t>
      </w:r>
      <w:r w:rsidRPr="00D74FA5">
        <w:rPr>
          <w:b/>
        </w:rPr>
        <w:t>ращать</w:t>
      </w:r>
      <w:proofErr w:type="gramEnd"/>
      <w:r w:rsidRPr="00D74FA5">
        <w:t xml:space="preserve"> </w:t>
      </w:r>
      <w:r w:rsidRPr="00D74FA5">
        <w:rPr>
          <w:b/>
          <w:bCs/>
        </w:rPr>
        <w:t>число целенаправленных ошибок при внедрении минимального гарантированного дохода и упорядочить процедуру подачи соответствующего ходатайства.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 xml:space="preserve">Бытовое насилие </w:t>
      </w:r>
    </w:p>
    <w:p w:rsidR="00D74FA5" w:rsidRPr="00D74FA5" w:rsidRDefault="00D74FA5" w:rsidP="00D74FA5">
      <w:pPr>
        <w:pStyle w:val="SingleTxtGR"/>
      </w:pPr>
      <w:r w:rsidRPr="00D74FA5">
        <w:t>31.</w:t>
      </w:r>
      <w:r w:rsidRPr="00D74FA5">
        <w:tab/>
        <w:t>Отмечая усилия, прилагаемые государством-участником для борьбы с бытовым насилием, Комитет, тем не менее, по-прежнему обеспокоен незнач</w:t>
      </w:r>
      <w:r w:rsidRPr="00D74FA5">
        <w:t>и</w:t>
      </w:r>
      <w:r w:rsidRPr="00D74FA5">
        <w:t>тельным числом вынесенных обвинительных приговоров и мягким наказанием для виновных. Кроме того, он озабочен недостаточностью поддержки, оказыв</w:t>
      </w:r>
      <w:r w:rsidRPr="00D74FA5">
        <w:t>а</w:t>
      </w:r>
      <w:r w:rsidRPr="00D74FA5">
        <w:t>емой жертвам бытового насилия, включая приюты, юридическую помощь и л</w:t>
      </w:r>
      <w:r w:rsidRPr="00D74FA5">
        <w:t>е</w:t>
      </w:r>
      <w:r w:rsidRPr="00D74FA5">
        <w:t>чение физических и психологических послед</w:t>
      </w:r>
      <w:r w:rsidR="00CF52A7">
        <w:t>ствий подобного насилия (ст</w:t>
      </w:r>
      <w:r w:rsidR="00CF52A7">
        <w:t>а</w:t>
      </w:r>
      <w:r w:rsidR="00CF52A7">
        <w:t>тья </w:t>
      </w:r>
      <w:r w:rsidRPr="00D74FA5">
        <w:t>10).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32.</w:t>
      </w:r>
      <w:r w:rsidRPr="00D74FA5">
        <w:tab/>
      </w:r>
      <w:r w:rsidRPr="00D74FA5">
        <w:rPr>
          <w:b/>
          <w:bCs/>
        </w:rPr>
        <w:t>Комитет настоятельно призывает государство-участник активизир</w:t>
      </w:r>
      <w:r w:rsidRPr="00D74FA5">
        <w:rPr>
          <w:b/>
          <w:bCs/>
        </w:rPr>
        <w:t>о</w:t>
      </w:r>
      <w:r w:rsidRPr="00D74FA5">
        <w:rPr>
          <w:b/>
          <w:bCs/>
        </w:rPr>
        <w:t>вать усилия по обеспечению оперативного и тщательного расследования всех зарегистрированных случаев</w:t>
      </w:r>
      <w:r w:rsidRPr="00D74FA5">
        <w:t xml:space="preserve"> </w:t>
      </w:r>
      <w:r w:rsidRPr="00D74FA5">
        <w:rPr>
          <w:b/>
        </w:rPr>
        <w:t>бытового</w:t>
      </w:r>
      <w:r w:rsidRPr="00D74FA5">
        <w:rPr>
          <w:b/>
          <w:bCs/>
        </w:rPr>
        <w:t xml:space="preserve"> насилия и определения вино</w:t>
      </w:r>
      <w:r w:rsidRPr="00D74FA5">
        <w:rPr>
          <w:b/>
          <w:bCs/>
        </w:rPr>
        <w:t>в</w:t>
      </w:r>
      <w:r w:rsidRPr="00D74FA5">
        <w:rPr>
          <w:b/>
          <w:bCs/>
        </w:rPr>
        <w:t>ным наказания, соразмерного тяжести их деяний. Он рекомендует госуда</w:t>
      </w:r>
      <w:r w:rsidRPr="00D74FA5">
        <w:rPr>
          <w:b/>
          <w:bCs/>
        </w:rPr>
        <w:t>р</w:t>
      </w:r>
      <w:r w:rsidRPr="00D74FA5">
        <w:rPr>
          <w:b/>
          <w:bCs/>
        </w:rPr>
        <w:t xml:space="preserve">ству-участнику оказывать жертвам </w:t>
      </w:r>
      <w:r w:rsidRPr="00D74FA5">
        <w:rPr>
          <w:b/>
        </w:rPr>
        <w:t>бытового</w:t>
      </w:r>
      <w:r w:rsidRPr="00D74FA5">
        <w:rPr>
          <w:b/>
          <w:bCs/>
        </w:rPr>
        <w:t xml:space="preserve"> насилия надлежащую по</w:t>
      </w:r>
      <w:r w:rsidRPr="00D74FA5">
        <w:rPr>
          <w:b/>
          <w:bCs/>
        </w:rPr>
        <w:t>д</w:t>
      </w:r>
      <w:r w:rsidRPr="00D74FA5">
        <w:rPr>
          <w:b/>
          <w:bCs/>
        </w:rPr>
        <w:t>держку посредством увеличения числа приютов и выделения достаточного объема финансирования на юридическую помощь, а также физическое и психологическое лечение. Он также рекомендует государству-участнику усовершенствовать систему сбора данных о бытовом насилии.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Торговля людьми</w:t>
      </w:r>
    </w:p>
    <w:p w:rsidR="00D74FA5" w:rsidRPr="00D74FA5" w:rsidRDefault="00D74FA5" w:rsidP="00D74FA5">
      <w:pPr>
        <w:pStyle w:val="SingleTxtGR"/>
      </w:pPr>
      <w:r w:rsidRPr="00D74FA5">
        <w:t>33.</w:t>
      </w:r>
      <w:r w:rsidRPr="00D74FA5">
        <w:tab/>
        <w:t>Комитет обеспокоен небольшим числом вынесенных обвинительных приговоров по делам о торговле людьми, несмотря на большое количество в</w:t>
      </w:r>
      <w:r w:rsidRPr="00D74FA5">
        <w:t>ы</w:t>
      </w:r>
      <w:r w:rsidRPr="00D74FA5">
        <w:t>явленных жертв. Кроме того, он озабочен распространенностью торговли тр</w:t>
      </w:r>
      <w:r w:rsidRPr="00D74FA5">
        <w:t>у</w:t>
      </w:r>
      <w:r w:rsidRPr="00D74FA5">
        <w:t>дящимися-мигрантами в целях сексуальной и трудовой эксплуатации, недост</w:t>
      </w:r>
      <w:r w:rsidRPr="00D74FA5">
        <w:t>а</w:t>
      </w:r>
      <w:r w:rsidRPr="00D74FA5">
        <w:t>точно эффективным выполнением нормативно-правовой базы и отсутствием мониторинга частных агентств по найму (статья 10).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34.</w:t>
      </w:r>
      <w:r w:rsidRPr="00D74FA5">
        <w:tab/>
      </w:r>
      <w:r w:rsidRPr="00D74FA5">
        <w:rPr>
          <w:b/>
          <w:bCs/>
        </w:rPr>
        <w:t>Комитет призывает государство-участник активизировать усилия по эффективному расследованию актов торговли, преследовать виновных в судебном порядке и определять им наказания, соразмерные тяжести их д</w:t>
      </w:r>
      <w:r w:rsidRPr="00D74FA5">
        <w:rPr>
          <w:b/>
          <w:bCs/>
        </w:rPr>
        <w:t>е</w:t>
      </w:r>
      <w:r w:rsidRPr="00D74FA5">
        <w:rPr>
          <w:b/>
          <w:bCs/>
        </w:rPr>
        <w:t>яний. Он рекомендует государству-участнику принимать эффективные м</w:t>
      </w:r>
      <w:r w:rsidRPr="00D74FA5">
        <w:rPr>
          <w:b/>
          <w:bCs/>
        </w:rPr>
        <w:t>е</w:t>
      </w:r>
      <w:r w:rsidRPr="00D74FA5">
        <w:rPr>
          <w:b/>
          <w:bCs/>
        </w:rPr>
        <w:t>ры для неукоснительного выполнения существующего законодательства, касающегося частных агентств по трудоустройству, и осуществлять мон</w:t>
      </w:r>
      <w:r w:rsidRPr="00D74FA5">
        <w:rPr>
          <w:b/>
          <w:bCs/>
        </w:rPr>
        <w:t>и</w:t>
      </w:r>
      <w:r w:rsidRPr="00D74FA5">
        <w:rPr>
          <w:b/>
          <w:bCs/>
        </w:rPr>
        <w:t>торинг их деятельности в целях предупреждения торговли трудящимися-мигрантами, особенно женщинами.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Нищета</w:t>
      </w:r>
    </w:p>
    <w:p w:rsidR="00D74FA5" w:rsidRPr="00D74FA5" w:rsidRDefault="00D74FA5" w:rsidP="00D74FA5">
      <w:pPr>
        <w:pStyle w:val="SingleTxtGR"/>
      </w:pPr>
      <w:r w:rsidRPr="00D74FA5">
        <w:t>35.</w:t>
      </w:r>
      <w:r w:rsidRPr="00D74FA5">
        <w:tab/>
        <w:t>Комитет обеспокоен тем, что число лиц, живущих в нищете, значительно увеличилось, особенно за время экономического кризиса, и тем, что более че</w:t>
      </w:r>
      <w:r w:rsidRPr="00D74FA5">
        <w:t>т</w:t>
      </w:r>
      <w:r w:rsidRPr="00D74FA5">
        <w:t>верти населения (27,4%) подвергается риску обнищания (статья 11) и не имеет достаточного жизненного уровня.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36.</w:t>
      </w:r>
      <w:r w:rsidRPr="00D74FA5">
        <w:tab/>
      </w:r>
      <w:r w:rsidRPr="00D74FA5">
        <w:rPr>
          <w:b/>
          <w:bCs/>
        </w:rPr>
        <w:t xml:space="preserve">Комитет рекомендует государству-участнику активизировать усилия по борьбе с нищетой, в том числе посредством всеобъемлющего анализа нужд лиц и групп, находящихся в наиболее неблагоприятном и </w:t>
      </w:r>
      <w:proofErr w:type="spellStart"/>
      <w:r w:rsidRPr="00D74FA5">
        <w:rPr>
          <w:b/>
          <w:bCs/>
        </w:rPr>
        <w:t>маргинал</w:t>
      </w:r>
      <w:r w:rsidRPr="00D74FA5">
        <w:rPr>
          <w:b/>
          <w:bCs/>
        </w:rPr>
        <w:t>и</w:t>
      </w:r>
      <w:r w:rsidRPr="00D74FA5">
        <w:rPr>
          <w:b/>
          <w:bCs/>
        </w:rPr>
        <w:t>зованном</w:t>
      </w:r>
      <w:proofErr w:type="spellEnd"/>
      <w:r w:rsidRPr="00D74FA5">
        <w:rPr>
          <w:b/>
          <w:bCs/>
        </w:rPr>
        <w:t xml:space="preserve"> положении, и принятия конкретных и целенаправленных мер для их удовлетворения. В этой связи Комитет обращает внимание госуда</w:t>
      </w:r>
      <w:r w:rsidRPr="00D74FA5">
        <w:rPr>
          <w:b/>
          <w:bCs/>
        </w:rPr>
        <w:t>р</w:t>
      </w:r>
      <w:r w:rsidRPr="00D74FA5">
        <w:rPr>
          <w:b/>
          <w:bCs/>
        </w:rPr>
        <w:lastRenderedPageBreak/>
        <w:t>ства-участника на свое заявление о нищете и Международном пакте об экономических, социальных и культурных правах (</w:t>
      </w:r>
      <w:r w:rsidRPr="00D74FA5">
        <w:rPr>
          <w:b/>
          <w:bCs/>
          <w:lang w:val="en-GB"/>
        </w:rPr>
        <w:t>E</w:t>
      </w:r>
      <w:r w:rsidRPr="00D74FA5">
        <w:rPr>
          <w:b/>
          <w:bCs/>
        </w:rPr>
        <w:t>/</w:t>
      </w:r>
      <w:r w:rsidRPr="00D74FA5">
        <w:rPr>
          <w:b/>
          <w:bCs/>
          <w:lang w:val="en-GB"/>
        </w:rPr>
        <w:t>C</w:t>
      </w:r>
      <w:r w:rsidRPr="00D74FA5">
        <w:rPr>
          <w:b/>
          <w:bCs/>
        </w:rPr>
        <w:t>.12/2001/10).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Право на жилище</w:t>
      </w:r>
    </w:p>
    <w:p w:rsidR="00D74FA5" w:rsidRPr="00D74FA5" w:rsidRDefault="00D74FA5" w:rsidP="00D74FA5">
      <w:pPr>
        <w:pStyle w:val="SingleTxtGR"/>
      </w:pPr>
      <w:r w:rsidRPr="00D74FA5">
        <w:t>37.</w:t>
      </w:r>
      <w:r w:rsidRPr="00D74FA5">
        <w:tab/>
        <w:t xml:space="preserve">Комитет обеспокоен постоянным сокращением бюджета, выделяемого на жилье в течение отчетного периода, что оказывает отрицательное влияние на лица и группы, находящиеся в неблагоприятном или </w:t>
      </w:r>
      <w:proofErr w:type="spellStart"/>
      <w:r w:rsidRPr="00D74FA5">
        <w:t>маргинализованном</w:t>
      </w:r>
      <w:proofErr w:type="spellEnd"/>
      <w:r w:rsidRPr="00D74FA5">
        <w:t xml:space="preserve"> пол</w:t>
      </w:r>
      <w:r w:rsidRPr="00D74FA5">
        <w:t>о</w:t>
      </w:r>
      <w:r w:rsidRPr="00D74FA5">
        <w:t>жении, особенно на перемещенных лиц, представителей народности рома и с</w:t>
      </w:r>
      <w:r w:rsidRPr="00D74FA5">
        <w:t>е</w:t>
      </w:r>
      <w:r w:rsidRPr="00D74FA5">
        <w:t>мьи с низким уровнем дохода. Он также с озабоченностью отмечает заметное увеличение случаев выселения в течение отчетного периода, большинство из которых было обусловлено задержками арендной платы. Комитет сожалеет по поводу отсутствия информации о правовых гарантиях против принудительного выселения и средствах правовой защиты для его жертв, а также дезагрегир</w:t>
      </w:r>
      <w:r w:rsidRPr="00D74FA5">
        <w:t>о</w:t>
      </w:r>
      <w:r w:rsidRPr="00D74FA5">
        <w:t>ванных статистических данных о числе подобных принудительных выселений (статья 11).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38.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</w:t>
      </w:r>
      <w:r w:rsidRPr="00D74FA5">
        <w:rPr>
          <w:rFonts w:hint="eastAsia"/>
          <w:b/>
          <w:bCs/>
        </w:rPr>
        <w:t xml:space="preserve"> </w:t>
      </w:r>
      <w:r w:rsidRPr="00D74FA5">
        <w:rPr>
          <w:b/>
          <w:bCs/>
        </w:rPr>
        <w:t>обеспечения права на достаточное жилище для всех и ув</w:t>
      </w:r>
      <w:r w:rsidRPr="00D74FA5">
        <w:rPr>
          <w:b/>
          <w:bCs/>
        </w:rPr>
        <w:t>е</w:t>
      </w:r>
      <w:r w:rsidRPr="00D74FA5">
        <w:rPr>
          <w:b/>
          <w:bCs/>
        </w:rPr>
        <w:t>личить бюджетные отчисления на жилье в целях предоставления досту</w:t>
      </w:r>
      <w:r w:rsidRPr="00D74FA5">
        <w:rPr>
          <w:b/>
          <w:bCs/>
        </w:rPr>
        <w:t>п</w:t>
      </w:r>
      <w:r w:rsidRPr="00D74FA5">
        <w:rPr>
          <w:b/>
          <w:bCs/>
        </w:rPr>
        <w:t>ных единиц социального жилья</w:t>
      </w:r>
      <w:r w:rsidRPr="00D74FA5">
        <w:rPr>
          <w:rFonts w:hint="eastAsia"/>
          <w:b/>
          <w:bCs/>
        </w:rPr>
        <w:t>,</w:t>
      </w:r>
      <w:r w:rsidRPr="00D74FA5">
        <w:rPr>
          <w:b/>
          <w:bCs/>
        </w:rPr>
        <w:t xml:space="preserve"> улучшения существующих жилищных условий для лиц и групп, находящихся в неблагоприятном и </w:t>
      </w:r>
      <w:proofErr w:type="spellStart"/>
      <w:r w:rsidRPr="00D74FA5">
        <w:rPr>
          <w:b/>
          <w:bCs/>
        </w:rPr>
        <w:t>маргинализ</w:t>
      </w:r>
      <w:r w:rsidRPr="00D74FA5">
        <w:rPr>
          <w:b/>
          <w:bCs/>
        </w:rPr>
        <w:t>о</w:t>
      </w:r>
      <w:r w:rsidRPr="00D74FA5">
        <w:rPr>
          <w:b/>
          <w:bCs/>
        </w:rPr>
        <w:t>ванном</w:t>
      </w:r>
      <w:proofErr w:type="spellEnd"/>
      <w:r w:rsidRPr="00D74FA5">
        <w:rPr>
          <w:b/>
          <w:bCs/>
        </w:rPr>
        <w:t xml:space="preserve"> положении,</w:t>
      </w:r>
      <w:r w:rsidRPr="00D74FA5">
        <w:rPr>
          <w:rFonts w:hint="eastAsia"/>
          <w:b/>
          <w:bCs/>
        </w:rPr>
        <w:t xml:space="preserve"> </w:t>
      </w:r>
      <w:r w:rsidRPr="00D74FA5">
        <w:rPr>
          <w:b/>
          <w:bCs/>
        </w:rPr>
        <w:t>и решения вопроса с задержками арендной платы. Он</w:t>
      </w:r>
      <w:r w:rsidR="00395757">
        <w:rPr>
          <w:b/>
          <w:bCs/>
        </w:rPr>
        <w:t> </w:t>
      </w:r>
      <w:r w:rsidRPr="00D74FA5">
        <w:rPr>
          <w:b/>
          <w:bCs/>
        </w:rPr>
        <w:t>также рекомендует государству-участнику обеспечить создание прав</w:t>
      </w:r>
      <w:r w:rsidRPr="00D74FA5">
        <w:rPr>
          <w:b/>
          <w:bCs/>
        </w:rPr>
        <w:t>о</w:t>
      </w:r>
      <w:r w:rsidRPr="00D74FA5">
        <w:rPr>
          <w:b/>
          <w:bCs/>
        </w:rPr>
        <w:t>вой основы, устанавливающей процедуры на случай выселения, которые соответствовали бы международным стандартам и руководящим принц</w:t>
      </w:r>
      <w:r w:rsidRPr="00D74FA5">
        <w:rPr>
          <w:b/>
          <w:bCs/>
        </w:rPr>
        <w:t>и</w:t>
      </w:r>
      <w:r w:rsidRPr="00D74FA5">
        <w:rPr>
          <w:b/>
          <w:bCs/>
        </w:rPr>
        <w:t>пам, содержащимся в его замечании общего порядка № 7 (1997 год) о пр</w:t>
      </w:r>
      <w:r w:rsidRPr="00D74FA5">
        <w:rPr>
          <w:b/>
          <w:bCs/>
        </w:rPr>
        <w:t>и</w:t>
      </w:r>
      <w:r w:rsidRPr="00D74FA5">
        <w:rPr>
          <w:b/>
          <w:bCs/>
        </w:rPr>
        <w:t>нудительном выселении.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Право на здоровье</w:t>
      </w:r>
    </w:p>
    <w:p w:rsidR="00D74FA5" w:rsidRPr="00D74FA5" w:rsidRDefault="00D74FA5" w:rsidP="00D74FA5">
      <w:pPr>
        <w:pStyle w:val="SingleTxtGR"/>
      </w:pPr>
      <w:r w:rsidRPr="00D74FA5">
        <w:t>39.</w:t>
      </w:r>
      <w:r w:rsidRPr="00D74FA5">
        <w:tab/>
        <w:t>Комитет обеспокоен невысоким уровнем государственных расходов на медицинское обслуживание, который снизился за время экономического криз</w:t>
      </w:r>
      <w:r w:rsidRPr="00D74FA5">
        <w:t>и</w:t>
      </w:r>
      <w:r w:rsidRPr="00D74FA5">
        <w:t>са, и значительной долей расходов домашних хозяйств на медицинское обсл</w:t>
      </w:r>
      <w:r w:rsidRPr="00D74FA5">
        <w:t>у</w:t>
      </w:r>
      <w:r w:rsidRPr="00D74FA5">
        <w:t>живание. Кроме того, он озабочен ограниченностью спектра медико-санитарных услуг, оказываемых государственной системой здравоохранения, и длинными листами ожидания. Он также обеспокоен тем, что, по сообщениям, просители убежища и мигранты, не имеющие документов, имеют ограниче</w:t>
      </w:r>
      <w:r w:rsidRPr="00D74FA5">
        <w:t>н</w:t>
      </w:r>
      <w:r w:rsidRPr="00D74FA5">
        <w:t>ный доступ к медицинскому обслуживанию, несмотря на меры, принятые гос</w:t>
      </w:r>
      <w:r w:rsidRPr="00D74FA5">
        <w:t>у</w:t>
      </w:r>
      <w:r w:rsidRPr="00D74FA5">
        <w:t>дарством-участником (статья 12).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40.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>мые меры для усовершенствования государственной системы здравоохр</w:t>
      </w:r>
      <w:r w:rsidRPr="00D74FA5">
        <w:rPr>
          <w:b/>
          <w:bCs/>
        </w:rPr>
        <w:t>а</w:t>
      </w:r>
      <w:r w:rsidRPr="00D74FA5">
        <w:rPr>
          <w:b/>
          <w:bCs/>
        </w:rPr>
        <w:t>нения, в том числе посредством существенного увеличения объема выдел</w:t>
      </w:r>
      <w:r w:rsidRPr="00D74FA5">
        <w:rPr>
          <w:b/>
          <w:bCs/>
        </w:rPr>
        <w:t>я</w:t>
      </w:r>
      <w:r w:rsidRPr="00D74FA5">
        <w:rPr>
          <w:b/>
          <w:bCs/>
        </w:rPr>
        <w:t>емого ей финансирования в целях обеспечения своевременного оказания расширенного спектра высококачественны</w:t>
      </w:r>
      <w:r w:rsidR="00CF52A7">
        <w:rPr>
          <w:b/>
          <w:bCs/>
        </w:rPr>
        <w:t>х медико-санитарных услуг. В </w:t>
      </w:r>
      <w:r w:rsidRPr="00D74FA5">
        <w:rPr>
          <w:b/>
          <w:bCs/>
        </w:rPr>
        <w:t>этой связи он призывает государство-участник осуществить введение всеобщей национальной системы здравоохранения, запланированное на 2017 год, и обеспечить ее эффективное функционирование впоследствии. Он рекомендует государству-участнику предпринять необходимые шаги для устранения препятствий, с которыми сталкиваются просители убеж</w:t>
      </w:r>
      <w:r w:rsidRPr="00D74FA5">
        <w:rPr>
          <w:b/>
          <w:bCs/>
        </w:rPr>
        <w:t>и</w:t>
      </w:r>
      <w:r w:rsidRPr="00D74FA5">
        <w:rPr>
          <w:b/>
          <w:bCs/>
        </w:rPr>
        <w:t>ща и мигранты, не обладающие документами, при попытке получить д</w:t>
      </w:r>
      <w:r w:rsidRPr="00D74FA5">
        <w:rPr>
          <w:b/>
          <w:bCs/>
        </w:rPr>
        <w:t>о</w:t>
      </w:r>
      <w:r w:rsidRPr="00D74FA5">
        <w:rPr>
          <w:b/>
          <w:bCs/>
        </w:rPr>
        <w:t>ступ к медицинскому обслуживанию.</w:t>
      </w:r>
    </w:p>
    <w:p w:rsidR="00D74FA5" w:rsidRPr="00D74FA5" w:rsidRDefault="00D74FA5" w:rsidP="0028168B">
      <w:pPr>
        <w:pStyle w:val="H23GR"/>
      </w:pPr>
      <w:r w:rsidRPr="00D74FA5">
        <w:lastRenderedPageBreak/>
        <w:tab/>
      </w:r>
      <w:r w:rsidRPr="00D74FA5">
        <w:tab/>
        <w:t>Право на образование</w:t>
      </w:r>
    </w:p>
    <w:p w:rsidR="00D74FA5" w:rsidRPr="00D74FA5" w:rsidRDefault="00D74FA5" w:rsidP="00D74FA5">
      <w:pPr>
        <w:pStyle w:val="SingleTxtGR"/>
      </w:pPr>
      <w:r w:rsidRPr="00D74FA5">
        <w:t>41.</w:t>
      </w:r>
      <w:r w:rsidRPr="00D74FA5">
        <w:tab/>
        <w:t>Комитет обеспокоен тем, что определение инклюзивного образования, предусмотренное во внутреннем законодательстве, не полностью соответствует международным нормам. Кроме того, он озабочен тем, что дети-инвалиды пр</w:t>
      </w:r>
      <w:r w:rsidRPr="00D74FA5">
        <w:t>о</w:t>
      </w:r>
      <w:r w:rsidRPr="00D74FA5">
        <w:t>должают испытывать трудности при попытке участия в инклюзивном образов</w:t>
      </w:r>
      <w:r w:rsidRPr="00D74FA5">
        <w:t>а</w:t>
      </w:r>
      <w:r w:rsidRPr="00D74FA5">
        <w:t xml:space="preserve">нии из-за недостаточного </w:t>
      </w:r>
      <w:proofErr w:type="gramStart"/>
      <w:r w:rsidRPr="00D74FA5">
        <w:t>уровня</w:t>
      </w:r>
      <w:proofErr w:type="gramEnd"/>
      <w:r w:rsidRPr="00D74FA5">
        <w:t xml:space="preserve"> обеспечиваемого для них разумного размещ</w:t>
      </w:r>
      <w:r w:rsidRPr="00D74FA5">
        <w:t>е</w:t>
      </w:r>
      <w:r w:rsidRPr="00D74FA5">
        <w:t>ния. Приветствуя учреждение механизма раннего выявления инвалидности, К</w:t>
      </w:r>
      <w:r w:rsidRPr="00D74FA5">
        <w:t>о</w:t>
      </w:r>
      <w:r w:rsidRPr="00D74FA5">
        <w:t>митет, тем не менее, по-прежнему обеспокоен тем, что механизм не эффективен для выявления и поддержки детей-инвалидов на самом раннем этапе развития (статьи 13 и 14).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42.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пересмотреть правовое определение инклюзивного образования с целью привести его в соотве</w:t>
      </w:r>
      <w:r w:rsidRPr="00D74FA5">
        <w:rPr>
          <w:b/>
          <w:bCs/>
        </w:rPr>
        <w:t>т</w:t>
      </w:r>
      <w:r w:rsidRPr="00D74FA5">
        <w:rPr>
          <w:b/>
          <w:bCs/>
        </w:rPr>
        <w:t>ствие с международными нормами. Кроме того, он рекомендует госуда</w:t>
      </w:r>
      <w:r w:rsidRPr="00D74FA5">
        <w:rPr>
          <w:b/>
          <w:bCs/>
        </w:rPr>
        <w:t>р</w:t>
      </w:r>
      <w:r w:rsidRPr="00D74FA5">
        <w:rPr>
          <w:b/>
          <w:bCs/>
        </w:rPr>
        <w:t xml:space="preserve">ству-участнику активизировать усилия по обеспечению предоставления всем детям-инвалидам разумного размещения, с </w:t>
      </w:r>
      <w:proofErr w:type="gramStart"/>
      <w:r w:rsidRPr="00D74FA5">
        <w:rPr>
          <w:b/>
          <w:bCs/>
        </w:rPr>
        <w:t>тем</w:t>
      </w:r>
      <w:proofErr w:type="gramEnd"/>
      <w:r w:rsidRPr="00D74FA5">
        <w:rPr>
          <w:b/>
          <w:bCs/>
        </w:rPr>
        <w:t xml:space="preserve"> чтобы они могли в полной мере участвовать в инклюзивном образовании на всех его уровнях. Далее он рекомендует государству-участнику усовершенствовать механизм выявления инвалидности, с </w:t>
      </w:r>
      <w:proofErr w:type="gramStart"/>
      <w:r w:rsidRPr="00D74FA5">
        <w:rPr>
          <w:b/>
          <w:bCs/>
        </w:rPr>
        <w:t>тем</w:t>
      </w:r>
      <w:proofErr w:type="gramEnd"/>
      <w:r w:rsidRPr="00D74FA5">
        <w:rPr>
          <w:b/>
          <w:bCs/>
        </w:rPr>
        <w:t xml:space="preserve"> чтобы обеспечить получение детьми-инвалидами необходимой поддержки на самом раннем этапе развития.</w:t>
      </w:r>
    </w:p>
    <w:p w:rsidR="00D74FA5" w:rsidRPr="00D74FA5" w:rsidRDefault="00D74FA5" w:rsidP="0028168B">
      <w:pPr>
        <w:pStyle w:val="H23GR"/>
      </w:pPr>
      <w:r w:rsidRPr="00D74FA5">
        <w:tab/>
      </w:r>
      <w:r w:rsidRPr="00D74FA5">
        <w:tab/>
        <w:t>Культурные права</w:t>
      </w:r>
    </w:p>
    <w:p w:rsidR="00D74FA5" w:rsidRPr="00D74FA5" w:rsidRDefault="00D74FA5" w:rsidP="00D74FA5">
      <w:pPr>
        <w:pStyle w:val="SingleTxtGR"/>
      </w:pPr>
      <w:r w:rsidRPr="00D74FA5">
        <w:t>43.</w:t>
      </w:r>
      <w:r w:rsidRPr="00D74FA5">
        <w:tab/>
        <w:t>Комитет приветствует учреждение Технического комитета по культурн</w:t>
      </w:r>
      <w:r w:rsidRPr="00D74FA5">
        <w:t>о</w:t>
      </w:r>
      <w:r w:rsidRPr="00D74FA5">
        <w:t xml:space="preserve">му наследию, который занимается сохранением и восстановлением объектов культурного </w:t>
      </w:r>
      <w:proofErr w:type="gramStart"/>
      <w:r w:rsidRPr="00D74FA5">
        <w:t>наследия</w:t>
      </w:r>
      <w:proofErr w:type="gramEnd"/>
      <w:r w:rsidRPr="00D74FA5">
        <w:t xml:space="preserve"> как в южной, так и в северной частях Кипра. Отмечая, что государство-участник осуществляет контроль не над всей своей </w:t>
      </w:r>
      <w:proofErr w:type="spellStart"/>
      <w:proofErr w:type="gramStart"/>
      <w:r w:rsidRPr="00D74FA5">
        <w:t>террито</w:t>
      </w:r>
      <w:r w:rsidR="00395757">
        <w:t>-</w:t>
      </w:r>
      <w:r w:rsidRPr="00D74FA5">
        <w:t>рией</w:t>
      </w:r>
      <w:proofErr w:type="spellEnd"/>
      <w:proofErr w:type="gramEnd"/>
      <w:r w:rsidRPr="00D74FA5">
        <w:t xml:space="preserve"> и, таким образом, не может защищать и поощрять закрепленные в Пакте права, в том числе культурные, на всей территории острова, Комитет, тем не менее, глубоко обеспокоен масштабным разрушением объектов и артефактов культурного наследия, главным образом в северной части Кипра. Кроме того, он обеспокоен ограниченным доступом населения Кипра к объектам своего культурного наследия (статья 15).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44.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принять все необход</w:t>
      </w:r>
      <w:r w:rsidRPr="00D74FA5">
        <w:rPr>
          <w:b/>
          <w:bCs/>
        </w:rPr>
        <w:t>и</w:t>
      </w:r>
      <w:r w:rsidRPr="00D74FA5">
        <w:rPr>
          <w:b/>
          <w:bCs/>
        </w:rPr>
        <w:t xml:space="preserve">мые и надлежащие меры для восстановления поврежденных и сохранения уцелевших объектов и артефактов культурного наследия, в том числе за счет усиления Технического комитета по культурному наследию путем предоставления достаточного объема ресурсов. Кроме того, он рекомендует государству-участнику принять эффективные меры для обеспечения того, чтобы люди на Кипре могли свободно посещать объекты культурного </w:t>
      </w:r>
      <w:proofErr w:type="gramStart"/>
      <w:r w:rsidRPr="00D74FA5">
        <w:rPr>
          <w:b/>
          <w:bCs/>
        </w:rPr>
        <w:t>наследия</w:t>
      </w:r>
      <w:proofErr w:type="gramEnd"/>
      <w:r w:rsidRPr="00D74FA5">
        <w:rPr>
          <w:b/>
          <w:bCs/>
        </w:rPr>
        <w:t xml:space="preserve"> как в южной, так и в северной частях Кипра.</w:t>
      </w:r>
    </w:p>
    <w:p w:rsidR="00D74FA5" w:rsidRPr="00D74FA5" w:rsidRDefault="00D74FA5" w:rsidP="0028168B">
      <w:pPr>
        <w:pStyle w:val="H1GR"/>
      </w:pPr>
      <w:r w:rsidRPr="00D74FA5">
        <w:tab/>
      </w:r>
      <w:r w:rsidRPr="00D74FA5">
        <w:rPr>
          <w:lang w:val="en-GB"/>
        </w:rPr>
        <w:t>D</w:t>
      </w:r>
      <w:r w:rsidRPr="00D74FA5">
        <w:t>.</w:t>
      </w:r>
      <w:r w:rsidRPr="00D74FA5">
        <w:tab/>
        <w:t>Другие рекомендации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45.</w:t>
      </w:r>
      <w:r w:rsidRPr="00D74FA5">
        <w:tab/>
      </w:r>
      <w:r w:rsidRPr="00D74FA5">
        <w:rPr>
          <w:b/>
          <w:bCs/>
        </w:rPr>
        <w:t>Комитет призывает государство-участник ратифицировать Факул</w:t>
      </w:r>
      <w:r w:rsidRPr="00D74FA5">
        <w:rPr>
          <w:b/>
          <w:bCs/>
        </w:rPr>
        <w:t>ь</w:t>
      </w:r>
      <w:r w:rsidRPr="00D74FA5">
        <w:rPr>
          <w:b/>
          <w:bCs/>
        </w:rPr>
        <w:t>тативный протокол к Международному пакту об экономических, социал</w:t>
      </w:r>
      <w:r w:rsidRPr="00D74FA5">
        <w:rPr>
          <w:b/>
          <w:bCs/>
        </w:rPr>
        <w:t>ь</w:t>
      </w:r>
      <w:r w:rsidRPr="00D74FA5">
        <w:rPr>
          <w:b/>
          <w:bCs/>
        </w:rPr>
        <w:t>ных и культурных правах.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46.</w:t>
      </w:r>
      <w:r w:rsidRPr="00D74FA5">
        <w:tab/>
      </w:r>
      <w:r w:rsidRPr="00D74FA5">
        <w:rPr>
          <w:b/>
          <w:bCs/>
        </w:rPr>
        <w:t>Комитет призывает также государство-участник</w:t>
      </w:r>
      <w:r w:rsidRPr="00D74FA5">
        <w:rPr>
          <w:rFonts w:hint="eastAsia"/>
          <w:b/>
          <w:bCs/>
        </w:rPr>
        <w:t xml:space="preserve"> </w:t>
      </w:r>
      <w:r w:rsidRPr="00D74FA5">
        <w:rPr>
          <w:b/>
          <w:bCs/>
        </w:rPr>
        <w:t>рассмотреть во</w:t>
      </w:r>
      <w:r w:rsidRPr="00D74FA5">
        <w:rPr>
          <w:b/>
          <w:bCs/>
        </w:rPr>
        <w:t>з</w:t>
      </w:r>
      <w:r w:rsidRPr="00D74FA5">
        <w:rPr>
          <w:b/>
          <w:bCs/>
        </w:rPr>
        <w:t>можность ратификации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lastRenderedPageBreak/>
        <w:t>47.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в полной мере учит</w:t>
      </w:r>
      <w:r w:rsidRPr="00D74FA5">
        <w:rPr>
          <w:b/>
          <w:bCs/>
        </w:rPr>
        <w:t>ы</w:t>
      </w:r>
      <w:r w:rsidRPr="00D74FA5">
        <w:rPr>
          <w:b/>
          <w:bCs/>
        </w:rPr>
        <w:t>вать свои обязательства в соответствии с Пактом и обеспеч</w:t>
      </w:r>
      <w:r w:rsidR="00395757">
        <w:rPr>
          <w:b/>
          <w:bCs/>
        </w:rPr>
        <w:t>ивать полную реализацию закрепле</w:t>
      </w:r>
      <w:r w:rsidRPr="00D74FA5">
        <w:rPr>
          <w:b/>
          <w:bCs/>
        </w:rPr>
        <w:t xml:space="preserve">нных </w:t>
      </w:r>
      <w:proofErr w:type="gramStart"/>
      <w:r w:rsidRPr="00D74FA5">
        <w:rPr>
          <w:b/>
          <w:bCs/>
        </w:rPr>
        <w:t>в нем прав в ходе осуществления на наци</w:t>
      </w:r>
      <w:r w:rsidRPr="00D74FA5">
        <w:rPr>
          <w:b/>
          <w:bCs/>
        </w:rPr>
        <w:t>о</w:t>
      </w:r>
      <w:r w:rsidRPr="00D74FA5">
        <w:rPr>
          <w:b/>
          <w:bCs/>
        </w:rPr>
        <w:t>нальном уровне Повестки дня в области устойчивого развития на период</w:t>
      </w:r>
      <w:proofErr w:type="gramEnd"/>
      <w:r w:rsidRPr="00D74FA5">
        <w:rPr>
          <w:b/>
          <w:bCs/>
        </w:rPr>
        <w:t xml:space="preserve"> до 2030 года, при необходимости пользуясь международной поддержкой и сотрудничеством. Достижение Целей в области устойчивого развития ст</w:t>
      </w:r>
      <w:r w:rsidRPr="00D74FA5">
        <w:rPr>
          <w:b/>
          <w:bCs/>
        </w:rPr>
        <w:t>а</w:t>
      </w:r>
      <w:r w:rsidRPr="00D74FA5">
        <w:rPr>
          <w:b/>
          <w:bCs/>
        </w:rPr>
        <w:t>нет значительно проще, если государство-участник учредит независимые механизмы мониторинга достигнутого прогресса и будет обращаться с б</w:t>
      </w:r>
      <w:r w:rsidRPr="00D74FA5">
        <w:rPr>
          <w:b/>
          <w:bCs/>
        </w:rPr>
        <w:t>е</w:t>
      </w:r>
      <w:r w:rsidRPr="00D74FA5">
        <w:rPr>
          <w:b/>
          <w:bCs/>
        </w:rPr>
        <w:t>нефициарами программ государственной помощи как с правообладател</w:t>
      </w:r>
      <w:r w:rsidRPr="00D74FA5">
        <w:rPr>
          <w:b/>
          <w:bCs/>
        </w:rPr>
        <w:t>я</w:t>
      </w:r>
      <w:r w:rsidRPr="00D74FA5">
        <w:rPr>
          <w:b/>
          <w:bCs/>
        </w:rPr>
        <w:t xml:space="preserve">ми, которые могут запрашивать причитающиеся им льготы. Реализация целей на основе принципа участия, подотчетности и </w:t>
      </w:r>
      <w:proofErr w:type="spellStart"/>
      <w:r w:rsidRPr="00D74FA5">
        <w:rPr>
          <w:b/>
          <w:bCs/>
        </w:rPr>
        <w:t>недискриминации</w:t>
      </w:r>
      <w:proofErr w:type="spellEnd"/>
      <w:r w:rsidRPr="00D74FA5">
        <w:rPr>
          <w:b/>
          <w:bCs/>
        </w:rPr>
        <w:t xml:space="preserve"> обеспечит, что никто не будет забыт.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48.</w:t>
      </w:r>
      <w:r w:rsidRPr="00D74FA5">
        <w:tab/>
      </w:r>
      <w:r w:rsidRPr="00D74FA5">
        <w:rPr>
          <w:b/>
          <w:bCs/>
        </w:rPr>
        <w:t>Комитет рекомендует государству-участнику пре</w:t>
      </w:r>
      <w:r w:rsidR="00CF52A7">
        <w:rPr>
          <w:b/>
          <w:bCs/>
        </w:rPr>
        <w:t>д</w:t>
      </w:r>
      <w:r w:rsidRPr="00D74FA5">
        <w:rPr>
          <w:b/>
          <w:bCs/>
        </w:rPr>
        <w:t>принимать шаги по постепенной разработке и применению надлежащих показателей реализ</w:t>
      </w:r>
      <w:r w:rsidRPr="00D74FA5">
        <w:rPr>
          <w:b/>
          <w:bCs/>
        </w:rPr>
        <w:t>а</w:t>
      </w:r>
      <w:r w:rsidRPr="00D74FA5">
        <w:rPr>
          <w:b/>
          <w:bCs/>
        </w:rPr>
        <w:t>ции экономических, социальных и культурных прав в целях содействия оценке прогресса государства-участника в деле выполнения своих обяз</w:t>
      </w:r>
      <w:r w:rsidRPr="00D74FA5">
        <w:rPr>
          <w:b/>
          <w:bCs/>
        </w:rPr>
        <w:t>а</w:t>
      </w:r>
      <w:r w:rsidRPr="00D74FA5">
        <w:rPr>
          <w:b/>
          <w:bCs/>
        </w:rPr>
        <w:t>тельств в соответствии с Пактом по отношению к разным сегментам нас</w:t>
      </w:r>
      <w:r w:rsidRPr="00D74FA5">
        <w:rPr>
          <w:b/>
          <w:bCs/>
        </w:rPr>
        <w:t>е</w:t>
      </w:r>
      <w:r w:rsidRPr="00D74FA5">
        <w:rPr>
          <w:b/>
          <w:bCs/>
        </w:rPr>
        <w:t>ления. В этом контексте Комитет отсылает государство-участник, в час</w:t>
      </w:r>
      <w:r w:rsidRPr="00D74FA5">
        <w:rPr>
          <w:b/>
          <w:bCs/>
        </w:rPr>
        <w:t>т</w:t>
      </w:r>
      <w:r w:rsidRPr="00D74FA5">
        <w:rPr>
          <w:b/>
          <w:bCs/>
        </w:rPr>
        <w:t>ности, к концептуальной и методологической основе показателей в области прав человека, разработанной Управлением Верховного комиссара Орг</w:t>
      </w:r>
      <w:r w:rsidRPr="00D74FA5">
        <w:rPr>
          <w:b/>
          <w:bCs/>
        </w:rPr>
        <w:t>а</w:t>
      </w:r>
      <w:r w:rsidRPr="00D74FA5">
        <w:rPr>
          <w:b/>
          <w:bCs/>
        </w:rPr>
        <w:t xml:space="preserve">низации Объединенных Наций по правам человека (см. </w:t>
      </w:r>
      <w:r w:rsidRPr="00D74FA5">
        <w:rPr>
          <w:b/>
          <w:bCs/>
          <w:lang w:val="en-GB"/>
        </w:rPr>
        <w:t>HRI</w:t>
      </w:r>
      <w:r w:rsidRPr="00D74FA5">
        <w:rPr>
          <w:b/>
          <w:bCs/>
        </w:rPr>
        <w:t>/</w:t>
      </w:r>
      <w:r w:rsidRPr="00D74FA5">
        <w:rPr>
          <w:b/>
          <w:bCs/>
          <w:lang w:val="en-GB"/>
        </w:rPr>
        <w:t>MC</w:t>
      </w:r>
      <w:r w:rsidRPr="00D74FA5">
        <w:rPr>
          <w:b/>
          <w:bCs/>
        </w:rPr>
        <w:t>/2008/3).</w:t>
      </w:r>
    </w:p>
    <w:p w:rsidR="00D74FA5" w:rsidRPr="00D74FA5" w:rsidRDefault="00D74FA5" w:rsidP="00D74FA5">
      <w:pPr>
        <w:pStyle w:val="SingleTxtGR"/>
        <w:rPr>
          <w:b/>
          <w:bCs/>
        </w:rPr>
      </w:pPr>
      <w:r w:rsidRPr="00D74FA5">
        <w:t>49.</w:t>
      </w:r>
      <w:r w:rsidRPr="00D74FA5">
        <w:rPr>
          <w:b/>
          <w:bCs/>
        </w:rPr>
        <w:tab/>
      </w:r>
      <w:proofErr w:type="gramStart"/>
      <w:r w:rsidRPr="00D74FA5">
        <w:rPr>
          <w:b/>
          <w:bCs/>
        </w:rPr>
        <w:t>Комитет просит государство-участник распространить текст насто</w:t>
      </w:r>
      <w:r w:rsidRPr="00D74FA5">
        <w:rPr>
          <w:b/>
          <w:bCs/>
        </w:rPr>
        <w:t>я</w:t>
      </w:r>
      <w:r w:rsidRPr="00D74FA5">
        <w:rPr>
          <w:b/>
          <w:bCs/>
        </w:rPr>
        <w:t>щих заключительных замечаний среди широких слоев общества, в том числе на национальном, муниципальном и территориальном уровнях, ос</w:t>
      </w:r>
      <w:r w:rsidRPr="00D74FA5">
        <w:rPr>
          <w:b/>
          <w:bCs/>
        </w:rPr>
        <w:t>о</w:t>
      </w:r>
      <w:r w:rsidRPr="00D74FA5">
        <w:rPr>
          <w:b/>
          <w:bCs/>
        </w:rPr>
        <w:t>бенно среди парламентариев, государственных должностных лиц и сотру</w:t>
      </w:r>
      <w:r w:rsidRPr="00D74FA5">
        <w:rPr>
          <w:b/>
          <w:bCs/>
        </w:rPr>
        <w:t>д</w:t>
      </w:r>
      <w:r w:rsidRPr="00D74FA5">
        <w:rPr>
          <w:b/>
          <w:bCs/>
        </w:rPr>
        <w:t>ников судебных органов, и в своем следующем периодическом докладе проинформировать Комитет о шагах, предпринятых с целью их осущест</w:t>
      </w:r>
      <w:r w:rsidRPr="00D74FA5">
        <w:rPr>
          <w:b/>
          <w:bCs/>
        </w:rPr>
        <w:t>в</w:t>
      </w:r>
      <w:r w:rsidRPr="00D74FA5">
        <w:rPr>
          <w:b/>
          <w:bCs/>
        </w:rPr>
        <w:t>ления.</w:t>
      </w:r>
      <w:proofErr w:type="gramEnd"/>
      <w:r w:rsidRPr="00D74FA5">
        <w:rPr>
          <w:b/>
          <w:bCs/>
        </w:rPr>
        <w:t xml:space="preserve"> Комитет призывает государство-участник взаимодействовать с н</w:t>
      </w:r>
      <w:r w:rsidRPr="00D74FA5">
        <w:rPr>
          <w:b/>
          <w:bCs/>
        </w:rPr>
        <w:t>е</w:t>
      </w:r>
      <w:r w:rsidRPr="00D74FA5">
        <w:rPr>
          <w:b/>
          <w:bCs/>
        </w:rPr>
        <w:t>правительственными организациями и другими членами гражданского общества в ходе выполнения настоящих заключительных замечаний и в процессе консультаций на национальном уровне до представления его сл</w:t>
      </w:r>
      <w:r w:rsidRPr="00D74FA5">
        <w:rPr>
          <w:b/>
          <w:bCs/>
        </w:rPr>
        <w:t>е</w:t>
      </w:r>
      <w:r w:rsidRPr="00D74FA5">
        <w:rPr>
          <w:b/>
          <w:bCs/>
        </w:rPr>
        <w:t>дующего периодического доклада.</w:t>
      </w:r>
    </w:p>
    <w:p w:rsidR="00D74FA5" w:rsidRPr="00D74FA5" w:rsidRDefault="00D74FA5" w:rsidP="00D74FA5">
      <w:pPr>
        <w:pStyle w:val="SingleTxtGR"/>
      </w:pPr>
      <w:r w:rsidRPr="00D74FA5">
        <w:t>50.</w:t>
      </w:r>
      <w:r w:rsidRPr="00D74FA5">
        <w:rPr>
          <w:b/>
          <w:bCs/>
        </w:rPr>
        <w:tab/>
        <w:t>Комитет просит государство-участник представить свой седьмой п</w:t>
      </w:r>
      <w:r w:rsidRPr="00D74FA5">
        <w:rPr>
          <w:b/>
          <w:bCs/>
        </w:rPr>
        <w:t>е</w:t>
      </w:r>
      <w:r w:rsidRPr="00D74FA5">
        <w:rPr>
          <w:b/>
          <w:bCs/>
        </w:rPr>
        <w:t>риодический доклад, который должен быть подготовлен в соответствии с руководящими принципами составления докладов, принятыми Комитетом в 2008 году (</w:t>
      </w:r>
      <w:r w:rsidRPr="00D74FA5">
        <w:rPr>
          <w:b/>
          <w:bCs/>
          <w:lang w:val="en-GB"/>
        </w:rPr>
        <w:t>E</w:t>
      </w:r>
      <w:r w:rsidRPr="00D74FA5">
        <w:rPr>
          <w:b/>
          <w:bCs/>
        </w:rPr>
        <w:t>/</w:t>
      </w:r>
      <w:r w:rsidRPr="00D74FA5">
        <w:rPr>
          <w:b/>
          <w:bCs/>
          <w:lang w:val="en-GB"/>
        </w:rPr>
        <w:t>C</w:t>
      </w:r>
      <w:r w:rsidRPr="00D74FA5">
        <w:rPr>
          <w:b/>
          <w:bCs/>
        </w:rPr>
        <w:t>.12/2008/2), к 31 октября 2021 года. Кроме того, он предл</w:t>
      </w:r>
      <w:r w:rsidRPr="00D74FA5">
        <w:rPr>
          <w:b/>
          <w:bCs/>
        </w:rPr>
        <w:t>а</w:t>
      </w:r>
      <w:r w:rsidRPr="00D74FA5">
        <w:rPr>
          <w:b/>
          <w:bCs/>
        </w:rPr>
        <w:t>гает государству-участнику обновить свой общий базовый документ в с</w:t>
      </w:r>
      <w:r w:rsidRPr="00D74FA5">
        <w:rPr>
          <w:b/>
          <w:bCs/>
        </w:rPr>
        <w:t>о</w:t>
      </w:r>
      <w:r w:rsidRPr="00D74FA5">
        <w:rPr>
          <w:b/>
          <w:bCs/>
        </w:rPr>
        <w:t>ответствии с согласованными руководящими принципами представления докладов согласно международным договорам о п</w:t>
      </w:r>
      <w:r w:rsidR="00CF52A7">
        <w:rPr>
          <w:b/>
          <w:bCs/>
        </w:rPr>
        <w:t>равах человека (см. </w:t>
      </w:r>
      <w:r w:rsidRPr="00D74FA5">
        <w:rPr>
          <w:b/>
          <w:bCs/>
          <w:lang w:val="en-GB"/>
        </w:rPr>
        <w:t>HRI</w:t>
      </w:r>
      <w:r w:rsidRPr="00D74FA5">
        <w:rPr>
          <w:b/>
          <w:bCs/>
        </w:rPr>
        <w:t>/</w:t>
      </w:r>
      <w:r w:rsidRPr="00D74FA5">
        <w:rPr>
          <w:b/>
          <w:bCs/>
          <w:lang w:val="en-GB"/>
        </w:rPr>
        <w:t>GEN</w:t>
      </w:r>
      <w:r w:rsidRPr="00D74FA5">
        <w:rPr>
          <w:b/>
          <w:bCs/>
        </w:rPr>
        <w:t>/2/</w:t>
      </w:r>
      <w:r w:rsidRPr="00D74FA5">
        <w:rPr>
          <w:b/>
          <w:bCs/>
          <w:lang w:val="en-GB"/>
        </w:rPr>
        <w:t>Rev</w:t>
      </w:r>
      <w:r w:rsidRPr="00D74FA5">
        <w:rPr>
          <w:b/>
          <w:bCs/>
        </w:rPr>
        <w:t xml:space="preserve">.6, глава </w:t>
      </w:r>
      <w:r w:rsidRPr="00D74FA5">
        <w:rPr>
          <w:b/>
          <w:bCs/>
          <w:lang w:val="en-GB"/>
        </w:rPr>
        <w:t>I).</w:t>
      </w:r>
    </w:p>
    <w:p w:rsidR="00D74FA5" w:rsidRPr="00D74FA5" w:rsidRDefault="00D74FA5" w:rsidP="00D74FA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4FA5" w:rsidRPr="00D74FA5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A5" w:rsidRDefault="00D74FA5" w:rsidP="00B471C5">
      <w:r>
        <w:separator/>
      </w:r>
    </w:p>
  </w:endnote>
  <w:endnote w:type="continuationSeparator" w:id="0">
    <w:p w:rsidR="00D74FA5" w:rsidRDefault="00D74FA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A5" w:rsidRPr="009A6F4A" w:rsidRDefault="00D74FA5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33276">
      <w:rPr>
        <w:rStyle w:val="a9"/>
        <w:noProof/>
      </w:rPr>
      <w:t>6</w:t>
    </w:r>
    <w:r>
      <w:rPr>
        <w:rStyle w:val="a9"/>
      </w:rPr>
      <w:fldChar w:fldCharType="end"/>
    </w:r>
    <w:r>
      <w:rPr>
        <w:lang w:val="en-US"/>
      </w:rPr>
      <w:tab/>
      <w:t>GE.16-</w:t>
    </w:r>
    <w:r w:rsidR="000F7F18">
      <w:rPr>
        <w:lang w:val="en-US"/>
      </w:rPr>
      <w:t>18826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A5" w:rsidRPr="009A6F4A" w:rsidRDefault="00D74FA5">
    <w:pPr>
      <w:pStyle w:val="a7"/>
      <w:rPr>
        <w:lang w:val="en-US"/>
      </w:rPr>
    </w:pPr>
    <w:r>
      <w:rPr>
        <w:lang w:val="en-US"/>
      </w:rPr>
      <w:t>GE.16-</w:t>
    </w:r>
    <w:r w:rsidR="000F7F18">
      <w:rPr>
        <w:lang w:val="en-US"/>
      </w:rPr>
      <w:t>18826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33276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74FA5" w:rsidRPr="00797A78" w:rsidTr="00D74FA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74FA5" w:rsidRPr="001C3ABC" w:rsidRDefault="00D74FA5" w:rsidP="00D74FA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F7F18">
            <w:rPr>
              <w:lang w:val="en-US"/>
            </w:rPr>
            <w:t>18826</w:t>
          </w:r>
          <w:r w:rsidRPr="001C3ABC">
            <w:rPr>
              <w:lang w:val="en-US"/>
            </w:rPr>
            <w:t xml:space="preserve"> (R)</w:t>
          </w:r>
          <w:r w:rsidR="000F7F18">
            <w:rPr>
              <w:lang w:val="en-US"/>
            </w:rPr>
            <w:t xml:space="preserve">  281116  281116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74FA5" w:rsidRDefault="00D74FA5" w:rsidP="00D74FA5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74FA5" w:rsidRDefault="000F7F18" w:rsidP="00D74FA5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E/C.12/CYP/CO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CYP/CO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4FA5" w:rsidRPr="00797A78" w:rsidTr="00D74FA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74FA5" w:rsidRPr="000F7F18" w:rsidRDefault="000F7F18" w:rsidP="00D74FA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F7F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74FA5" w:rsidRDefault="00D74FA5" w:rsidP="00D74FA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74FA5" w:rsidRDefault="00D74FA5" w:rsidP="00D74FA5"/>
      </w:tc>
    </w:tr>
  </w:tbl>
  <w:p w:rsidR="00D74FA5" w:rsidRPr="007A36B5" w:rsidRDefault="00D74FA5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A5" w:rsidRPr="009141DC" w:rsidRDefault="00D74FA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74FA5" w:rsidRPr="00D1261C" w:rsidRDefault="00D74FA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74FA5" w:rsidRPr="00D74FA5" w:rsidRDefault="00D74FA5">
      <w:pPr>
        <w:pStyle w:val="aa"/>
        <w:rPr>
          <w:sz w:val="20"/>
          <w:lang w:val="ru-RU"/>
        </w:rPr>
      </w:pPr>
      <w:r>
        <w:tab/>
      </w:r>
      <w:r w:rsidRPr="00D74FA5">
        <w:rPr>
          <w:rStyle w:val="a6"/>
          <w:sz w:val="20"/>
          <w:vertAlign w:val="baseline"/>
          <w:lang w:val="ru-RU"/>
        </w:rPr>
        <w:t>*</w:t>
      </w:r>
      <w:r w:rsidRPr="00D74FA5">
        <w:rPr>
          <w:sz w:val="20"/>
          <w:lang w:val="ru-RU"/>
        </w:rPr>
        <w:t xml:space="preserve"> </w:t>
      </w:r>
      <w:r w:rsidRPr="00D74FA5">
        <w:rPr>
          <w:lang w:val="ru-RU"/>
        </w:rPr>
        <w:tab/>
        <w:t>Приняты Комитетом на его пятьдесят девятой сессии (19 сентября – 7 октября 2016 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A5" w:rsidRPr="00E71A0F" w:rsidRDefault="00D74FA5">
    <w:pPr>
      <w:pStyle w:val="a3"/>
      <w:rPr>
        <w:lang w:val="en-US"/>
      </w:rPr>
    </w:pPr>
    <w:r>
      <w:rPr>
        <w:lang w:val="en-US"/>
      </w:rPr>
      <w:t>E/</w:t>
    </w:r>
    <w:r w:rsidR="000F7F18" w:rsidRPr="000F7F18">
      <w:rPr>
        <w:lang w:val="en-US"/>
      </w:rPr>
      <w:t>C.12/CYP/CO/6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A5" w:rsidRPr="009A6F4A" w:rsidRDefault="00D74FA5">
    <w:pPr>
      <w:pStyle w:val="a3"/>
      <w:rPr>
        <w:lang w:val="en-US"/>
      </w:rPr>
    </w:pPr>
    <w:r>
      <w:rPr>
        <w:lang w:val="en-US"/>
      </w:rPr>
      <w:tab/>
      <w:t>E/</w:t>
    </w:r>
    <w:r w:rsidR="000F7F18" w:rsidRPr="000F7F18">
      <w:rPr>
        <w:lang w:val="en-US"/>
      </w:rPr>
      <w:t>C.12/CYP/CO/6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20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AA35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F57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D18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5"/>
    <w:rsid w:val="000450D1"/>
    <w:rsid w:val="000C1ABC"/>
    <w:rsid w:val="000F2A4F"/>
    <w:rsid w:val="000F3CE1"/>
    <w:rsid w:val="000F7F18"/>
    <w:rsid w:val="00203C64"/>
    <w:rsid w:val="00203F84"/>
    <w:rsid w:val="00275188"/>
    <w:rsid w:val="0028168B"/>
    <w:rsid w:val="0028687D"/>
    <w:rsid w:val="002B091C"/>
    <w:rsid w:val="002D0CCB"/>
    <w:rsid w:val="00345C79"/>
    <w:rsid w:val="00366A39"/>
    <w:rsid w:val="00375A3E"/>
    <w:rsid w:val="00395757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33276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A4715"/>
    <w:rsid w:val="00BE1742"/>
    <w:rsid w:val="00CF52A7"/>
    <w:rsid w:val="00D1261C"/>
    <w:rsid w:val="00D74FA5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D74FA5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D74FA5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D74FA5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D74FA5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D74FA5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D74FA5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D74FA5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D74FA5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D74FA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D74FA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rsid w:val="00D74FA5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D74FA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D74FA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D74FA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D74FA5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D74FA5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D74FA5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D74FA5"/>
    <w:pPr>
      <w:numPr>
        <w:numId w:val="6"/>
      </w:numPr>
    </w:pPr>
  </w:style>
  <w:style w:type="numbering" w:styleId="111111">
    <w:name w:val="Outline List 2"/>
    <w:basedOn w:val="a2"/>
    <w:semiHidden/>
    <w:rsid w:val="00D74FA5"/>
    <w:pPr>
      <w:numPr>
        <w:numId w:val="12"/>
      </w:numPr>
    </w:pPr>
  </w:style>
  <w:style w:type="numbering" w:styleId="1ai">
    <w:name w:val="Outline List 1"/>
    <w:basedOn w:val="a2"/>
    <w:semiHidden/>
    <w:rsid w:val="00D74FA5"/>
    <w:pPr>
      <w:numPr>
        <w:numId w:val="14"/>
      </w:numPr>
    </w:pPr>
  </w:style>
  <w:style w:type="paragraph" w:styleId="af">
    <w:name w:val="Balloon Text"/>
    <w:basedOn w:val="a"/>
    <w:link w:val="af0"/>
    <w:uiPriority w:val="99"/>
    <w:semiHidden/>
    <w:unhideWhenUsed/>
    <w:rsid w:val="00D74FA5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FA5"/>
    <w:rPr>
      <w:rFonts w:ascii="Tahoma" w:eastAsia="Times New Roman" w:hAnsi="Tahoma" w:cs="Tahoma"/>
      <w:sz w:val="16"/>
      <w:szCs w:val="16"/>
      <w:lang w:val="en-GB"/>
    </w:rPr>
  </w:style>
  <w:style w:type="paragraph" w:styleId="af1">
    <w:name w:val="caption"/>
    <w:basedOn w:val="a"/>
    <w:next w:val="a"/>
    <w:uiPriority w:val="35"/>
    <w:unhideWhenUsed/>
    <w:qFormat/>
    <w:rsid w:val="00D74FA5"/>
    <w:pPr>
      <w:suppressAutoHyphens/>
      <w:spacing w:before="120"/>
    </w:pPr>
    <w:rPr>
      <w:b/>
      <w:bCs/>
      <w:spacing w:val="0"/>
      <w:w w:val="100"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D74FA5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3">
    <w:name w:val="heading 3"/>
    <w:basedOn w:val="a"/>
    <w:next w:val="a"/>
    <w:link w:val="30"/>
    <w:semiHidden/>
    <w:rsid w:val="00D74FA5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4">
    <w:name w:val="heading 4"/>
    <w:basedOn w:val="a"/>
    <w:next w:val="a"/>
    <w:link w:val="40"/>
    <w:semiHidden/>
    <w:rsid w:val="00D74FA5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5">
    <w:name w:val="heading 5"/>
    <w:basedOn w:val="a"/>
    <w:next w:val="a"/>
    <w:link w:val="50"/>
    <w:semiHidden/>
    <w:rsid w:val="00D74FA5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6">
    <w:name w:val="heading 6"/>
    <w:basedOn w:val="a"/>
    <w:next w:val="a"/>
    <w:link w:val="60"/>
    <w:semiHidden/>
    <w:rsid w:val="00D74FA5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7">
    <w:name w:val="heading 7"/>
    <w:basedOn w:val="a"/>
    <w:next w:val="a"/>
    <w:link w:val="70"/>
    <w:semiHidden/>
    <w:rsid w:val="00D74FA5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8">
    <w:name w:val="heading 8"/>
    <w:basedOn w:val="a"/>
    <w:next w:val="a"/>
    <w:link w:val="80"/>
    <w:semiHidden/>
    <w:rsid w:val="00D74FA5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9">
    <w:name w:val="heading 9"/>
    <w:basedOn w:val="a"/>
    <w:next w:val="a"/>
    <w:link w:val="90"/>
    <w:semiHidden/>
    <w:rsid w:val="00D74FA5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D74FA5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D74FA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a"/>
    <w:next w:val="a"/>
    <w:rsid w:val="00D74FA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D74F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a"/>
    <w:rsid w:val="00D74FA5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a"/>
    <w:next w:val="a"/>
    <w:rsid w:val="00D74FA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a"/>
    <w:next w:val="a"/>
    <w:rsid w:val="00D74FA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a"/>
    <w:next w:val="a"/>
    <w:rsid w:val="00D74FA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D74FA5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a"/>
    <w:rsid w:val="00D74FA5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D74FA5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D74FA5"/>
    <w:pPr>
      <w:numPr>
        <w:numId w:val="6"/>
      </w:numPr>
    </w:pPr>
  </w:style>
  <w:style w:type="numbering" w:styleId="111111">
    <w:name w:val="Outline List 2"/>
    <w:basedOn w:val="a2"/>
    <w:semiHidden/>
    <w:rsid w:val="00D74FA5"/>
    <w:pPr>
      <w:numPr>
        <w:numId w:val="12"/>
      </w:numPr>
    </w:pPr>
  </w:style>
  <w:style w:type="numbering" w:styleId="1ai">
    <w:name w:val="Outline List 1"/>
    <w:basedOn w:val="a2"/>
    <w:semiHidden/>
    <w:rsid w:val="00D74FA5"/>
    <w:pPr>
      <w:numPr>
        <w:numId w:val="14"/>
      </w:numPr>
    </w:pPr>
  </w:style>
  <w:style w:type="paragraph" w:styleId="af">
    <w:name w:val="Balloon Text"/>
    <w:basedOn w:val="a"/>
    <w:link w:val="af0"/>
    <w:uiPriority w:val="99"/>
    <w:semiHidden/>
    <w:unhideWhenUsed/>
    <w:rsid w:val="00D74FA5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FA5"/>
    <w:rPr>
      <w:rFonts w:ascii="Tahoma" w:eastAsia="Times New Roman" w:hAnsi="Tahoma" w:cs="Tahoma"/>
      <w:sz w:val="16"/>
      <w:szCs w:val="16"/>
      <w:lang w:val="en-GB"/>
    </w:rPr>
  </w:style>
  <w:style w:type="paragraph" w:styleId="af1">
    <w:name w:val="caption"/>
    <w:basedOn w:val="a"/>
    <w:next w:val="a"/>
    <w:uiPriority w:val="35"/>
    <w:unhideWhenUsed/>
    <w:qFormat/>
    <w:rsid w:val="00D74FA5"/>
    <w:pPr>
      <w:suppressAutoHyphens/>
      <w:spacing w:before="120"/>
    </w:pPr>
    <w:rPr>
      <w:b/>
      <w:bCs/>
      <w:spacing w:val="0"/>
      <w:w w:val="100"/>
      <w:ker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4E19-36AF-4A74-B86D-484E65F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12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2016-11-28T13:53:00Z</cp:lastPrinted>
  <dcterms:created xsi:type="dcterms:W3CDTF">2016-11-28T13:57:00Z</dcterms:created>
  <dcterms:modified xsi:type="dcterms:W3CDTF">2016-11-28T13:57:00Z</dcterms:modified>
</cp:coreProperties>
</file>