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774831">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774831" w:rsidRDefault="007B7F98" w:rsidP="00B6553F">
            <w:pPr>
              <w:spacing w:after="80" w:line="300" w:lineRule="exact"/>
              <w:rPr>
                <w:b/>
                <w:sz w:val="24"/>
                <w:szCs w:val="24"/>
              </w:rPr>
            </w:pPr>
            <w:r w:rsidRPr="00774831">
              <w:rPr>
                <w:sz w:val="28"/>
                <w:szCs w:val="28"/>
              </w:rPr>
              <w:t>United Nations</w:t>
            </w:r>
          </w:p>
        </w:tc>
        <w:tc>
          <w:tcPr>
            <w:tcW w:w="6095" w:type="dxa"/>
            <w:gridSpan w:val="2"/>
            <w:tcBorders>
              <w:bottom w:val="single" w:sz="4" w:space="0" w:color="auto"/>
            </w:tcBorders>
            <w:vAlign w:val="bottom"/>
          </w:tcPr>
          <w:p w:rsidR="00B56E9C" w:rsidRPr="00774831" w:rsidRDefault="00B37D21" w:rsidP="00B37D21">
            <w:pPr>
              <w:jc w:val="right"/>
            </w:pPr>
            <w:r w:rsidRPr="00774831">
              <w:rPr>
                <w:sz w:val="40"/>
              </w:rPr>
              <w:t>CRPD</w:t>
            </w:r>
            <w:r w:rsidRPr="00774831">
              <w:t>/C/TUN/</w:t>
            </w:r>
            <w:r w:rsidR="003D5886" w:rsidRPr="00774831">
              <w:t>CO</w:t>
            </w:r>
            <w:r w:rsidRPr="00774831">
              <w:t>/1</w:t>
            </w:r>
          </w:p>
        </w:tc>
      </w:tr>
      <w:tr w:rsidR="00B56E9C" w:rsidRPr="00774831">
        <w:trPr>
          <w:cantSplit/>
          <w:trHeight w:hRule="exact" w:val="2835"/>
        </w:trPr>
        <w:tc>
          <w:tcPr>
            <w:tcW w:w="1276" w:type="dxa"/>
            <w:tcBorders>
              <w:top w:val="single" w:sz="4" w:space="0" w:color="auto"/>
              <w:bottom w:val="single" w:sz="12" w:space="0" w:color="auto"/>
            </w:tcBorders>
          </w:tcPr>
          <w:p w:rsidR="00B56E9C" w:rsidRPr="00774831" w:rsidRDefault="007B7F98" w:rsidP="00B06775">
            <w:pPr>
              <w:spacing w:before="120"/>
              <w:jc w:val="center"/>
            </w:pPr>
            <w:r w:rsidRPr="007748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B7F98" w:rsidRPr="00774831" w:rsidRDefault="007B7F98" w:rsidP="007B7F98">
            <w:pPr>
              <w:spacing w:before="120" w:line="380" w:lineRule="exact"/>
              <w:rPr>
                <w:b/>
                <w:sz w:val="34"/>
                <w:szCs w:val="40"/>
              </w:rPr>
            </w:pPr>
            <w:r w:rsidRPr="00774831">
              <w:rPr>
                <w:b/>
                <w:sz w:val="34"/>
                <w:szCs w:val="40"/>
              </w:rPr>
              <w:t>Convention on the Rights</w:t>
            </w:r>
            <w:r w:rsidRPr="00774831">
              <w:rPr>
                <w:b/>
                <w:sz w:val="34"/>
                <w:szCs w:val="40"/>
              </w:rPr>
              <w:br/>
              <w:t>of Persons with Disabilities</w:t>
            </w:r>
          </w:p>
          <w:p w:rsidR="00B56E9C" w:rsidRPr="00774831" w:rsidRDefault="00B56E9C" w:rsidP="00FE1588">
            <w:pPr>
              <w:spacing w:before="120" w:line="380" w:lineRule="exact"/>
            </w:pPr>
          </w:p>
        </w:tc>
        <w:tc>
          <w:tcPr>
            <w:tcW w:w="2835" w:type="dxa"/>
            <w:tcBorders>
              <w:top w:val="single" w:sz="4" w:space="0" w:color="auto"/>
              <w:bottom w:val="single" w:sz="12" w:space="0" w:color="auto"/>
            </w:tcBorders>
          </w:tcPr>
          <w:p w:rsidR="00B37D21" w:rsidRPr="00774831" w:rsidRDefault="00B37D21" w:rsidP="00FE1588">
            <w:pPr>
              <w:spacing w:before="240" w:line="240" w:lineRule="exact"/>
            </w:pPr>
            <w:r w:rsidRPr="00774831">
              <w:t xml:space="preserve">Distr.: </w:t>
            </w:r>
            <w:r w:rsidR="00ED0619" w:rsidRPr="00774831">
              <w:t>General</w:t>
            </w:r>
          </w:p>
          <w:p w:rsidR="00B37D21" w:rsidRPr="00774831" w:rsidRDefault="006F464E" w:rsidP="007961CC">
            <w:pPr>
              <w:spacing w:line="240" w:lineRule="exact"/>
            </w:pPr>
            <w:r>
              <w:t>1</w:t>
            </w:r>
            <w:r w:rsidR="00C130A2">
              <w:t>3</w:t>
            </w:r>
            <w:r w:rsidR="00FE1588" w:rsidRPr="00774831">
              <w:t xml:space="preserve"> </w:t>
            </w:r>
            <w:r w:rsidR="00ED0619" w:rsidRPr="00774831">
              <w:t>May</w:t>
            </w:r>
            <w:r w:rsidR="00FE1588" w:rsidRPr="00774831">
              <w:t xml:space="preserve"> </w:t>
            </w:r>
            <w:r w:rsidR="005F6783" w:rsidRPr="00774831">
              <w:t>2011</w:t>
            </w:r>
          </w:p>
          <w:p w:rsidR="00B37D21" w:rsidRPr="00774831" w:rsidRDefault="00B37D21" w:rsidP="00B37D21">
            <w:pPr>
              <w:spacing w:line="240" w:lineRule="exact"/>
            </w:pPr>
          </w:p>
          <w:p w:rsidR="00B56E9C" w:rsidRPr="00774831" w:rsidRDefault="00B37D21" w:rsidP="00B37D21">
            <w:pPr>
              <w:spacing w:line="240" w:lineRule="exact"/>
            </w:pPr>
            <w:r w:rsidRPr="00774831">
              <w:t>Original: English</w:t>
            </w:r>
          </w:p>
        </w:tc>
      </w:tr>
    </w:tbl>
    <w:p w:rsidR="00B37D21" w:rsidRPr="00774831" w:rsidRDefault="00B37D21" w:rsidP="00B37D21">
      <w:pPr>
        <w:spacing w:before="120"/>
        <w:rPr>
          <w:b/>
          <w:sz w:val="24"/>
          <w:szCs w:val="24"/>
        </w:rPr>
      </w:pPr>
      <w:r w:rsidRPr="00774831">
        <w:rPr>
          <w:b/>
          <w:sz w:val="24"/>
          <w:szCs w:val="24"/>
        </w:rPr>
        <w:t>Committee on the Rights of Persons with Disabilities</w:t>
      </w:r>
    </w:p>
    <w:p w:rsidR="00B37D21" w:rsidRPr="00774831" w:rsidRDefault="00B37D21" w:rsidP="00B37D21">
      <w:pPr>
        <w:rPr>
          <w:b/>
        </w:rPr>
      </w:pPr>
      <w:r w:rsidRPr="00774831">
        <w:rPr>
          <w:b/>
        </w:rPr>
        <w:t>F</w:t>
      </w:r>
      <w:r w:rsidR="005F6783" w:rsidRPr="00774831">
        <w:rPr>
          <w:b/>
        </w:rPr>
        <w:t>if</w:t>
      </w:r>
      <w:r w:rsidRPr="00774831">
        <w:rPr>
          <w:b/>
        </w:rPr>
        <w:t xml:space="preserve">th </w:t>
      </w:r>
      <w:r w:rsidR="007A79B3" w:rsidRPr="00774831">
        <w:rPr>
          <w:b/>
        </w:rPr>
        <w:t>s</w:t>
      </w:r>
      <w:r w:rsidRPr="00774831">
        <w:rPr>
          <w:b/>
        </w:rPr>
        <w:t>ession</w:t>
      </w:r>
    </w:p>
    <w:p w:rsidR="00E64D08" w:rsidRPr="00774831" w:rsidRDefault="005F6783" w:rsidP="00EF22BF">
      <w:pPr>
        <w:rPr>
          <w:rStyle w:val="apple-style-span"/>
        </w:rPr>
      </w:pPr>
      <w:r w:rsidRPr="00774831">
        <w:t>11-15</w:t>
      </w:r>
      <w:r w:rsidR="00B37D21" w:rsidRPr="00774831">
        <w:t xml:space="preserve"> </w:t>
      </w:r>
      <w:r w:rsidRPr="00774831">
        <w:t>April 2011</w:t>
      </w:r>
    </w:p>
    <w:p w:rsidR="00FC37B5" w:rsidRPr="00774831" w:rsidRDefault="00EF22BF" w:rsidP="004B5E81">
      <w:pPr>
        <w:pStyle w:val="HChG"/>
        <w:rPr>
          <w:snapToGrid w:val="0"/>
        </w:rPr>
      </w:pPr>
      <w:r w:rsidRPr="00774831">
        <w:tab/>
      </w:r>
      <w:r w:rsidRPr="00774831">
        <w:tab/>
      </w:r>
      <w:r w:rsidR="00FC37B5" w:rsidRPr="00774831">
        <w:rPr>
          <w:snapToGrid w:val="0"/>
        </w:rPr>
        <w:t>Consideration of reports submitted by States parties under article 35 of the Co</w:t>
      </w:r>
      <w:r w:rsidR="004B5E81" w:rsidRPr="00774831">
        <w:rPr>
          <w:snapToGrid w:val="0"/>
        </w:rPr>
        <w:t>nvention</w:t>
      </w:r>
    </w:p>
    <w:p w:rsidR="00EF22BF" w:rsidRPr="00774831" w:rsidRDefault="00FC37B5" w:rsidP="007B7F98">
      <w:pPr>
        <w:pStyle w:val="H1G"/>
      </w:pPr>
      <w:r w:rsidRPr="00774831">
        <w:tab/>
      </w:r>
      <w:r w:rsidRPr="00774831">
        <w:tab/>
      </w:r>
      <w:r w:rsidR="00EF22BF" w:rsidRPr="00774831">
        <w:t xml:space="preserve">Concluding observations of the Committee on the Rights of </w:t>
      </w:r>
      <w:r w:rsidR="00EE15A7" w:rsidRPr="00774831">
        <w:t>Persons with Disabilities</w:t>
      </w:r>
    </w:p>
    <w:p w:rsidR="00565F3F" w:rsidRPr="00774831" w:rsidRDefault="00565F3F" w:rsidP="007B7F98">
      <w:pPr>
        <w:pStyle w:val="HChG"/>
      </w:pPr>
      <w:r w:rsidRPr="00774831">
        <w:tab/>
      </w:r>
      <w:r w:rsidRPr="00774831">
        <w:tab/>
      </w:r>
      <w:smartTag w:uri="urn:schemas-microsoft-com:office:smarttags" w:element="place">
        <w:smartTag w:uri="urn:schemas-microsoft-com:office:smarttags" w:element="country-region">
          <w:r w:rsidRPr="00774831">
            <w:t>Tunisia</w:t>
          </w:r>
        </w:smartTag>
      </w:smartTag>
    </w:p>
    <w:p w:rsidR="00EF22BF" w:rsidRPr="00774831" w:rsidRDefault="00774831" w:rsidP="00774831">
      <w:pPr>
        <w:pStyle w:val="SingleTxtG"/>
      </w:pPr>
      <w:r w:rsidRPr="00774831">
        <w:t>1.</w:t>
      </w:r>
      <w:r w:rsidRPr="00774831">
        <w:tab/>
      </w:r>
      <w:r w:rsidR="00FF5396" w:rsidRPr="00774831">
        <w:t xml:space="preserve">The Committee considered the initial report of </w:t>
      </w:r>
      <w:smartTag w:uri="urn:schemas-microsoft-com:office:smarttags" w:element="place">
        <w:smartTag w:uri="urn:schemas-microsoft-com:office:smarttags" w:element="country-region">
          <w:r w:rsidR="00FF5396" w:rsidRPr="00774831">
            <w:t>Tunisia</w:t>
          </w:r>
        </w:smartTag>
      </w:smartTag>
      <w:r w:rsidR="00FF5396" w:rsidRPr="00774831">
        <w:t xml:space="preserve"> (CRPD/C/TUN/1) at its 46th, 47th, and 48th meetings (see CRPD/C/SR.</w:t>
      </w:r>
      <w:r w:rsidR="0000693E" w:rsidRPr="00774831">
        <w:t>46-48</w:t>
      </w:r>
      <w:r w:rsidR="00FF5396" w:rsidRPr="00774831">
        <w:t>), held on 12 and 13 April 2011, and adopted the following concluding observations at its 52nd meeting, held on 15 April 2011</w:t>
      </w:r>
      <w:r w:rsidR="00EF22BF" w:rsidRPr="00774831">
        <w:t>.</w:t>
      </w:r>
    </w:p>
    <w:p w:rsidR="00EF22BF" w:rsidRPr="00774831" w:rsidRDefault="00EF22BF" w:rsidP="003C49C6">
      <w:pPr>
        <w:pStyle w:val="HChG"/>
      </w:pPr>
      <w:r w:rsidRPr="00774831">
        <w:tab/>
      </w:r>
      <w:r w:rsidR="003C49C6" w:rsidRPr="00774831">
        <w:t>I</w:t>
      </w:r>
      <w:r w:rsidRPr="00774831">
        <w:t>.</w:t>
      </w:r>
      <w:r w:rsidRPr="00774831">
        <w:tab/>
        <w:t>Introduction</w:t>
      </w:r>
    </w:p>
    <w:p w:rsidR="00B529B0" w:rsidRPr="00774831" w:rsidRDefault="00774831" w:rsidP="00774831">
      <w:pPr>
        <w:pStyle w:val="SingleTxtG"/>
      </w:pPr>
      <w:r w:rsidRPr="00774831">
        <w:t>2.</w:t>
      </w:r>
      <w:r w:rsidRPr="00774831">
        <w:tab/>
      </w:r>
      <w:r w:rsidR="00EF22BF" w:rsidRPr="00774831">
        <w:t xml:space="preserve">The Committee </w:t>
      </w:r>
      <w:r w:rsidR="005A039B" w:rsidRPr="00774831">
        <w:t xml:space="preserve">welcomes the initial report of </w:t>
      </w:r>
      <w:smartTag w:uri="urn:schemas-microsoft-com:office:smarttags" w:element="place">
        <w:smartTag w:uri="urn:schemas-microsoft-com:office:smarttags" w:element="country-region">
          <w:r w:rsidR="00985AD4" w:rsidRPr="00774831">
            <w:t>Tunisia</w:t>
          </w:r>
        </w:smartTag>
      </w:smartTag>
      <w:r w:rsidR="00985AD4" w:rsidRPr="00774831">
        <w:t xml:space="preserve">, </w:t>
      </w:r>
      <w:r w:rsidR="005A039B" w:rsidRPr="00774831">
        <w:t xml:space="preserve">which was </w:t>
      </w:r>
      <w:r w:rsidR="00985AD4" w:rsidRPr="00774831">
        <w:t xml:space="preserve">one of the first </w:t>
      </w:r>
      <w:r w:rsidR="005A039B" w:rsidRPr="00774831">
        <w:t xml:space="preserve">States to </w:t>
      </w:r>
      <w:r w:rsidR="00985AD4" w:rsidRPr="00774831">
        <w:t>ratif</w:t>
      </w:r>
      <w:r w:rsidR="005A039B" w:rsidRPr="00774831">
        <w:t>y</w:t>
      </w:r>
      <w:r w:rsidR="00985AD4" w:rsidRPr="00774831">
        <w:t xml:space="preserve"> the Convention and its </w:t>
      </w:r>
      <w:r w:rsidR="005A039B" w:rsidRPr="00774831">
        <w:t xml:space="preserve">Optional </w:t>
      </w:r>
      <w:r w:rsidR="00985AD4" w:rsidRPr="00774831">
        <w:t xml:space="preserve">Protocol, </w:t>
      </w:r>
      <w:r w:rsidR="00EF22BF" w:rsidRPr="00774831">
        <w:t>as well as the written replies to the list of issues</w:t>
      </w:r>
      <w:r w:rsidR="00ED0619" w:rsidRPr="00774831">
        <w:t xml:space="preserve"> (CRPD/C/TUN/Q/1/Add.1)</w:t>
      </w:r>
      <w:r w:rsidR="00065BB8" w:rsidRPr="00774831">
        <w:t>.</w:t>
      </w:r>
      <w:r w:rsidR="00ED0619" w:rsidRPr="00774831">
        <w:t xml:space="preserve"> </w:t>
      </w:r>
      <w:r w:rsidR="005A039B" w:rsidRPr="00774831">
        <w:t xml:space="preserve">The two documents </w:t>
      </w:r>
      <w:r w:rsidR="00EF22BF" w:rsidRPr="00774831">
        <w:t>enabled the Committee to gain a better understanding o</w:t>
      </w:r>
      <w:r w:rsidR="005435C4" w:rsidRPr="00774831">
        <w:t>f</w:t>
      </w:r>
      <w:r w:rsidR="00EF22BF" w:rsidRPr="00774831">
        <w:t xml:space="preserve"> the implementation of the Convention in the State party. </w:t>
      </w:r>
    </w:p>
    <w:p w:rsidR="003B06F5" w:rsidRPr="00774831" w:rsidRDefault="00774831" w:rsidP="00774831">
      <w:pPr>
        <w:pStyle w:val="SingleTxtG"/>
      </w:pPr>
      <w:r w:rsidRPr="00774831">
        <w:t>3.</w:t>
      </w:r>
      <w:r w:rsidRPr="00774831">
        <w:tab/>
      </w:r>
      <w:r w:rsidR="00B529B0" w:rsidRPr="00774831">
        <w:t>The Committee highly appreciates the presence of th</w:t>
      </w:r>
      <w:r w:rsidR="0041553B" w:rsidRPr="00774831">
        <w:t xml:space="preserve">e delegation for the dialogue, </w:t>
      </w:r>
      <w:r w:rsidR="00B529B0" w:rsidRPr="00774831">
        <w:t xml:space="preserve">despite </w:t>
      </w:r>
      <w:r w:rsidR="0041553B" w:rsidRPr="00774831">
        <w:t xml:space="preserve">the country </w:t>
      </w:r>
      <w:r w:rsidR="00B529B0" w:rsidRPr="00774831">
        <w:t xml:space="preserve">being in </w:t>
      </w:r>
      <w:r w:rsidR="00065BB8" w:rsidRPr="00774831">
        <w:t>a transitional situation since</w:t>
      </w:r>
      <w:r w:rsidR="00B529B0" w:rsidRPr="00774831">
        <w:t xml:space="preserve"> the democra</w:t>
      </w:r>
      <w:r w:rsidR="00D0493B" w:rsidRPr="00774831">
        <w:t>tic</w:t>
      </w:r>
      <w:r w:rsidR="0041553B" w:rsidRPr="00774831">
        <w:t xml:space="preserve"> revolution </w:t>
      </w:r>
      <w:r w:rsidR="00130B28" w:rsidRPr="00774831">
        <w:t>of</w:t>
      </w:r>
      <w:r w:rsidR="0041553B" w:rsidRPr="00774831">
        <w:t xml:space="preserve"> 14 January 2011</w:t>
      </w:r>
      <w:r w:rsidR="00463E94" w:rsidRPr="00774831">
        <w:t xml:space="preserve">, and </w:t>
      </w:r>
      <w:r w:rsidR="00EF22BF" w:rsidRPr="00774831">
        <w:t xml:space="preserve">welcomes the </w:t>
      </w:r>
      <w:r w:rsidR="00F03A98" w:rsidRPr="00774831">
        <w:t>open</w:t>
      </w:r>
      <w:r w:rsidR="00EF22BF" w:rsidRPr="00774831">
        <w:t xml:space="preserve"> dialogue with a competent delegation</w:t>
      </w:r>
      <w:r w:rsidR="006C7E47" w:rsidRPr="00774831">
        <w:t xml:space="preserve"> represent</w:t>
      </w:r>
      <w:r w:rsidR="001F034A" w:rsidRPr="00774831">
        <w:t>ing</w:t>
      </w:r>
      <w:r w:rsidR="006C7E47" w:rsidRPr="00774831">
        <w:t xml:space="preserve"> </w:t>
      </w:r>
      <w:r w:rsidR="00782527" w:rsidRPr="00774831">
        <w:t xml:space="preserve">several </w:t>
      </w:r>
      <w:r w:rsidR="00F01CBE" w:rsidRPr="00774831">
        <w:t>segment</w:t>
      </w:r>
      <w:r w:rsidR="006C7E47" w:rsidRPr="00774831">
        <w:t xml:space="preserve">s of the </w:t>
      </w:r>
      <w:r w:rsidR="00463E94" w:rsidRPr="00774831">
        <w:t>G</w:t>
      </w:r>
      <w:r w:rsidR="006C7E47" w:rsidRPr="00774831">
        <w:t>overnment</w:t>
      </w:r>
      <w:r w:rsidR="00463E94" w:rsidRPr="00774831">
        <w:t>,</w:t>
      </w:r>
      <w:r w:rsidR="0043357D" w:rsidRPr="00774831">
        <w:t xml:space="preserve"> </w:t>
      </w:r>
      <w:r w:rsidR="001F034A" w:rsidRPr="00774831">
        <w:t>and including</w:t>
      </w:r>
      <w:r w:rsidR="0043357D" w:rsidRPr="00774831">
        <w:t xml:space="preserve"> </w:t>
      </w:r>
      <w:r w:rsidR="0000693E" w:rsidRPr="00774831">
        <w:t>an expert</w:t>
      </w:r>
      <w:r w:rsidR="0043357D" w:rsidRPr="00774831">
        <w:t xml:space="preserve"> with disabilities</w:t>
      </w:r>
      <w:r w:rsidR="001F034A" w:rsidRPr="00774831">
        <w:t xml:space="preserve"> among its members</w:t>
      </w:r>
      <w:r w:rsidR="00EF22BF" w:rsidRPr="00774831">
        <w:t xml:space="preserve">. </w:t>
      </w:r>
    </w:p>
    <w:p w:rsidR="00EF22BF" w:rsidRPr="00774831" w:rsidRDefault="00FE1588" w:rsidP="003C49C6">
      <w:pPr>
        <w:pStyle w:val="HChG"/>
      </w:pPr>
      <w:r w:rsidRPr="00774831">
        <w:tab/>
      </w:r>
      <w:r w:rsidR="003C49C6" w:rsidRPr="00774831">
        <w:t>II</w:t>
      </w:r>
      <w:r w:rsidRPr="00774831">
        <w:t>.</w:t>
      </w:r>
      <w:r w:rsidR="00EF22BF" w:rsidRPr="00774831">
        <w:tab/>
        <w:t>Positive aspects</w:t>
      </w:r>
    </w:p>
    <w:p w:rsidR="00EF22BF" w:rsidRPr="00774831" w:rsidRDefault="00774831" w:rsidP="00774831">
      <w:pPr>
        <w:pStyle w:val="SingleTxtG"/>
      </w:pPr>
      <w:r w:rsidRPr="00774831">
        <w:t>4.</w:t>
      </w:r>
      <w:r w:rsidRPr="00774831">
        <w:tab/>
      </w:r>
      <w:r w:rsidR="00EF22BF" w:rsidRPr="00774831">
        <w:t>The Committ</w:t>
      </w:r>
      <w:r w:rsidR="00A35F8B" w:rsidRPr="00774831">
        <w:t xml:space="preserve">ee notes with appreciation that the initial report </w:t>
      </w:r>
      <w:r w:rsidR="005A039B" w:rsidRPr="00774831">
        <w:t>was</w:t>
      </w:r>
      <w:r w:rsidR="00A35F8B" w:rsidRPr="00774831">
        <w:t xml:space="preserve"> </w:t>
      </w:r>
      <w:r w:rsidR="00463E94" w:rsidRPr="00774831">
        <w:t>prepared in</w:t>
      </w:r>
      <w:r w:rsidR="005A039B" w:rsidRPr="00774831">
        <w:t xml:space="preserve"> a process of extensive</w:t>
      </w:r>
      <w:r w:rsidR="00A35F8B" w:rsidRPr="00774831">
        <w:t xml:space="preserve"> national consultations</w:t>
      </w:r>
      <w:r w:rsidR="00463E94" w:rsidRPr="00774831">
        <w:t>,</w:t>
      </w:r>
      <w:r w:rsidR="00A35F8B" w:rsidRPr="00774831">
        <w:t xml:space="preserve"> including </w:t>
      </w:r>
      <w:r w:rsidR="00463E94" w:rsidRPr="00774831">
        <w:t xml:space="preserve">with </w:t>
      </w:r>
      <w:r w:rsidR="00A35F8B" w:rsidRPr="00774831">
        <w:t>disabled persons</w:t>
      </w:r>
      <w:r w:rsidR="000122E8" w:rsidRPr="00774831">
        <w:t>’</w:t>
      </w:r>
      <w:r w:rsidR="00A35F8B" w:rsidRPr="00774831">
        <w:t xml:space="preserve"> organi</w:t>
      </w:r>
      <w:r w:rsidR="00463E94" w:rsidRPr="00774831">
        <w:t>z</w:t>
      </w:r>
      <w:r w:rsidR="00A35F8B" w:rsidRPr="00774831">
        <w:t>ations</w:t>
      </w:r>
      <w:r w:rsidR="00294AF7" w:rsidRPr="00774831">
        <w:t>.</w:t>
      </w:r>
    </w:p>
    <w:p w:rsidR="00EF22BF" w:rsidRPr="00774831" w:rsidRDefault="00774831" w:rsidP="00774831">
      <w:pPr>
        <w:pStyle w:val="SingleTxtG"/>
      </w:pPr>
      <w:r w:rsidRPr="00774831">
        <w:t>5.</w:t>
      </w:r>
      <w:r w:rsidRPr="00774831">
        <w:tab/>
      </w:r>
      <w:r w:rsidR="00EF22BF" w:rsidRPr="00774831">
        <w:t xml:space="preserve">The Committee welcomes the </w:t>
      </w:r>
      <w:r w:rsidR="007A4A9D" w:rsidRPr="00774831">
        <w:t xml:space="preserve">measures taken by the State </w:t>
      </w:r>
      <w:r w:rsidR="00463E94" w:rsidRPr="00774831">
        <w:t>p</w:t>
      </w:r>
      <w:r w:rsidR="007A4A9D" w:rsidRPr="00774831">
        <w:t xml:space="preserve">arty to </w:t>
      </w:r>
      <w:r w:rsidR="00463E94" w:rsidRPr="00774831">
        <w:t>initiate</w:t>
      </w:r>
      <w:r w:rsidR="0000693E" w:rsidRPr="00774831">
        <w:t xml:space="preserve"> </w:t>
      </w:r>
      <w:r w:rsidR="007A4A9D" w:rsidRPr="00774831">
        <w:t>harmoniz</w:t>
      </w:r>
      <w:r w:rsidR="00463E94" w:rsidRPr="00774831">
        <w:t>ation of</w:t>
      </w:r>
      <w:r w:rsidR="007A4A9D" w:rsidRPr="00774831">
        <w:t xml:space="preserve"> domestic law and policy with the Convention</w:t>
      </w:r>
      <w:r w:rsidR="00EF22BF" w:rsidRPr="00774831">
        <w:t>, including</w:t>
      </w:r>
      <w:r w:rsidR="00EA0F6F" w:rsidRPr="00774831">
        <w:t xml:space="preserve"> the adoption of</w:t>
      </w:r>
      <w:r w:rsidR="00EF22BF" w:rsidRPr="00774831">
        <w:t>:</w:t>
      </w:r>
    </w:p>
    <w:p w:rsidR="00EF22BF" w:rsidRPr="00774831" w:rsidRDefault="00EF22BF" w:rsidP="00774831">
      <w:pPr>
        <w:pStyle w:val="SingleTxtG"/>
        <w:ind w:firstLine="567"/>
      </w:pPr>
      <w:r w:rsidRPr="00774831">
        <w:t>(a)</w:t>
      </w:r>
      <w:r w:rsidR="00463E94" w:rsidRPr="00774831">
        <w:tab/>
      </w:r>
      <w:r w:rsidR="00EA0F6F" w:rsidRPr="00774831">
        <w:t>Law No. 83 of 15 August 2005 on the advancement and protection of persons with disabilities</w:t>
      </w:r>
      <w:r w:rsidR="009A077B" w:rsidRPr="00774831">
        <w:t>;</w:t>
      </w:r>
    </w:p>
    <w:p w:rsidR="003E2EF0" w:rsidRPr="00774831" w:rsidRDefault="003E2EF0" w:rsidP="00774831">
      <w:pPr>
        <w:pStyle w:val="SingleTxtG"/>
        <w:ind w:firstLine="567"/>
      </w:pPr>
      <w:r w:rsidRPr="00774831">
        <w:t xml:space="preserve">(b) </w:t>
      </w:r>
      <w:r w:rsidR="00463E94" w:rsidRPr="00774831">
        <w:tab/>
      </w:r>
      <w:r w:rsidRPr="00774831">
        <w:t>Law No. 80 of 23 July 2002, supplemented by Law No. 9 of 11 February</w:t>
      </w:r>
      <w:r w:rsidR="00A3778F" w:rsidRPr="00774831">
        <w:t xml:space="preserve"> </w:t>
      </w:r>
      <w:r w:rsidRPr="00774831">
        <w:t>2008, which prohibit</w:t>
      </w:r>
      <w:r w:rsidR="000122E8" w:rsidRPr="00774831">
        <w:t>s</w:t>
      </w:r>
      <w:r w:rsidRPr="00774831">
        <w:t xml:space="preserve"> discrimination </w:t>
      </w:r>
      <w:r w:rsidR="0000693E" w:rsidRPr="00774831">
        <w:t>against</w:t>
      </w:r>
      <w:r w:rsidRPr="00774831">
        <w:t xml:space="preserve"> school-age children</w:t>
      </w:r>
      <w:r w:rsidR="005A039B" w:rsidRPr="00774831">
        <w:t>.</w:t>
      </w:r>
    </w:p>
    <w:p w:rsidR="00E07CA2" w:rsidRPr="00774831" w:rsidRDefault="00774831" w:rsidP="00774831">
      <w:pPr>
        <w:pStyle w:val="SingleTxtG"/>
      </w:pPr>
      <w:r w:rsidRPr="00774831">
        <w:t>6.</w:t>
      </w:r>
      <w:r w:rsidRPr="00774831">
        <w:tab/>
      </w:r>
      <w:r w:rsidR="00EF22BF" w:rsidRPr="00774831">
        <w:t xml:space="preserve">The Committee welcomes the </w:t>
      </w:r>
      <w:r w:rsidR="003C17EF" w:rsidRPr="00774831">
        <w:t>amendment of article 319 of the Penal Code</w:t>
      </w:r>
      <w:r w:rsidR="00463E94" w:rsidRPr="00774831">
        <w:t xml:space="preserve"> in 2010,</w:t>
      </w:r>
      <w:r w:rsidR="003C17EF" w:rsidRPr="00774831">
        <w:t xml:space="preserve"> which prohibits all forms of violence </w:t>
      </w:r>
      <w:r w:rsidR="005A039B" w:rsidRPr="00774831">
        <w:t xml:space="preserve">against </w:t>
      </w:r>
      <w:r w:rsidR="003C17EF" w:rsidRPr="00774831">
        <w:t xml:space="preserve">children, </w:t>
      </w:r>
      <w:r w:rsidR="005A039B" w:rsidRPr="00774831">
        <w:t xml:space="preserve">regardless </w:t>
      </w:r>
      <w:r w:rsidR="00463E94" w:rsidRPr="00774831">
        <w:t xml:space="preserve">of </w:t>
      </w:r>
      <w:r w:rsidR="005A039B" w:rsidRPr="00774831">
        <w:t>who</w:t>
      </w:r>
      <w:r w:rsidR="003C17EF" w:rsidRPr="00774831">
        <w:t xml:space="preserve"> the perpetrator</w:t>
      </w:r>
      <w:r w:rsidR="00463E94" w:rsidRPr="00774831">
        <w:t xml:space="preserve"> </w:t>
      </w:r>
      <w:r w:rsidR="003C17EF" w:rsidRPr="00774831">
        <w:t xml:space="preserve">– </w:t>
      </w:r>
      <w:r w:rsidR="004553C5" w:rsidRPr="00774831">
        <w:t xml:space="preserve">including </w:t>
      </w:r>
      <w:r w:rsidR="003C17EF" w:rsidRPr="00774831">
        <w:t>parent</w:t>
      </w:r>
      <w:r w:rsidR="004553C5" w:rsidRPr="00774831">
        <w:t>s</w:t>
      </w:r>
      <w:r w:rsidR="003C17EF" w:rsidRPr="00774831">
        <w:t xml:space="preserve"> or tutor</w:t>
      </w:r>
      <w:r w:rsidR="004553C5" w:rsidRPr="00774831">
        <w:t>s</w:t>
      </w:r>
      <w:r w:rsidR="003C17EF" w:rsidRPr="00774831">
        <w:t xml:space="preserve"> – </w:t>
      </w:r>
      <w:r w:rsidR="00463E94" w:rsidRPr="00774831">
        <w:t>may be.</w:t>
      </w:r>
    </w:p>
    <w:p w:rsidR="00EF22BF" w:rsidRPr="00774831" w:rsidRDefault="00EF22BF" w:rsidP="003C49C6">
      <w:pPr>
        <w:pStyle w:val="HChG"/>
      </w:pPr>
      <w:r w:rsidRPr="00774831">
        <w:tab/>
      </w:r>
      <w:r w:rsidR="003C49C6" w:rsidRPr="00774831">
        <w:t>III</w:t>
      </w:r>
      <w:r w:rsidRPr="00774831">
        <w:t>.</w:t>
      </w:r>
      <w:r w:rsidRPr="00774831">
        <w:tab/>
      </w:r>
      <w:r w:rsidR="0029546D" w:rsidRPr="00774831">
        <w:t>Factors and difficultie</w:t>
      </w:r>
      <w:r w:rsidR="009A1386" w:rsidRPr="00774831">
        <w:t>s</w:t>
      </w:r>
      <w:r w:rsidR="0029546D" w:rsidRPr="00774831">
        <w:t xml:space="preserve"> impeding the implementation of the Co</w:t>
      </w:r>
      <w:r w:rsidR="005A039B" w:rsidRPr="00774831">
        <w:t>nvention</w:t>
      </w:r>
    </w:p>
    <w:p w:rsidR="00E96616" w:rsidRPr="00774831" w:rsidRDefault="00774831" w:rsidP="00774831">
      <w:pPr>
        <w:pStyle w:val="SingleTxtG"/>
      </w:pPr>
      <w:r w:rsidRPr="00774831">
        <w:t>7.</w:t>
      </w:r>
      <w:r w:rsidRPr="00774831">
        <w:tab/>
      </w:r>
      <w:r w:rsidR="00E96616" w:rsidRPr="00774831">
        <w:t xml:space="preserve">The Committee notes that the implementation of </w:t>
      </w:r>
      <w:r w:rsidR="0093336A" w:rsidRPr="00774831">
        <w:t xml:space="preserve">some aspects of </w:t>
      </w:r>
      <w:r w:rsidR="00E96616" w:rsidRPr="00774831">
        <w:t xml:space="preserve">the </w:t>
      </w:r>
      <w:r w:rsidR="005A039B" w:rsidRPr="00774831">
        <w:t xml:space="preserve">Convention </w:t>
      </w:r>
      <w:r w:rsidR="0093336A" w:rsidRPr="00774831">
        <w:t xml:space="preserve">might be </w:t>
      </w:r>
      <w:r w:rsidR="0000693E" w:rsidRPr="00774831">
        <w:t>influenced</w:t>
      </w:r>
      <w:r w:rsidR="0093336A" w:rsidRPr="00774831">
        <w:t xml:space="preserve"> by </w:t>
      </w:r>
      <w:r w:rsidR="005A039B" w:rsidRPr="00774831">
        <w:t>the uncertainty and rapidly changing situation</w:t>
      </w:r>
      <w:r w:rsidR="00463E94" w:rsidRPr="00774831">
        <w:t xml:space="preserve"> in the State party,</w:t>
      </w:r>
      <w:r w:rsidR="005A039B" w:rsidRPr="00774831">
        <w:t xml:space="preserve"> </w:t>
      </w:r>
      <w:r w:rsidR="0093336A" w:rsidRPr="00774831">
        <w:t>following</w:t>
      </w:r>
      <w:r w:rsidR="007A5D96" w:rsidRPr="00774831">
        <w:t xml:space="preserve"> the </w:t>
      </w:r>
      <w:r w:rsidR="00130B28" w:rsidRPr="00774831">
        <w:t xml:space="preserve">democratic </w:t>
      </w:r>
      <w:r w:rsidR="007A5D96" w:rsidRPr="00774831">
        <w:t>revolution</w:t>
      </w:r>
      <w:r w:rsidR="0093336A" w:rsidRPr="00774831">
        <w:t>. It notes</w:t>
      </w:r>
      <w:r w:rsidR="009B5247" w:rsidRPr="00774831">
        <w:t xml:space="preserve"> the </w:t>
      </w:r>
      <w:r w:rsidR="005A039B" w:rsidRPr="00774831">
        <w:t xml:space="preserve">far-reaching </w:t>
      </w:r>
      <w:r w:rsidR="009B5247" w:rsidRPr="00774831">
        <w:t>institutional changes taking place</w:t>
      </w:r>
      <w:r w:rsidR="004A5869" w:rsidRPr="00774831">
        <w:t xml:space="preserve"> in </w:t>
      </w:r>
      <w:r w:rsidR="00130B28" w:rsidRPr="00774831">
        <w:t>recent months</w:t>
      </w:r>
      <w:r w:rsidR="00545E4A" w:rsidRPr="00774831">
        <w:t>,</w:t>
      </w:r>
      <w:r w:rsidR="00130B28" w:rsidRPr="00774831">
        <w:t xml:space="preserve"> and views those changes as </w:t>
      </w:r>
      <w:r w:rsidR="00772B4F" w:rsidRPr="00774831">
        <w:t xml:space="preserve">a unique opportunity for persons with disabilities to </w:t>
      </w:r>
      <w:r w:rsidR="001D0E7B" w:rsidRPr="00774831">
        <w:t xml:space="preserve">take part </w:t>
      </w:r>
      <w:r w:rsidR="00772B4F" w:rsidRPr="00774831">
        <w:t xml:space="preserve">in the </w:t>
      </w:r>
      <w:r w:rsidR="001D0E7B" w:rsidRPr="00774831">
        <w:t>building</w:t>
      </w:r>
      <w:r w:rsidR="00772B4F" w:rsidRPr="00774831">
        <w:t xml:space="preserve"> of a new country.</w:t>
      </w:r>
    </w:p>
    <w:p w:rsidR="0029546D" w:rsidRPr="00774831" w:rsidRDefault="00EF22BF" w:rsidP="003C49C6">
      <w:pPr>
        <w:pStyle w:val="HChG"/>
      </w:pPr>
      <w:r w:rsidRPr="00774831">
        <w:tab/>
      </w:r>
      <w:r w:rsidR="003C49C6" w:rsidRPr="00774831">
        <w:t>IV</w:t>
      </w:r>
      <w:r w:rsidR="0029546D" w:rsidRPr="00774831">
        <w:t>.</w:t>
      </w:r>
      <w:r w:rsidR="0029546D" w:rsidRPr="00774831">
        <w:tab/>
        <w:t xml:space="preserve">Principal </w:t>
      </w:r>
      <w:r w:rsidR="0093385A" w:rsidRPr="00774831">
        <w:t>areas</w:t>
      </w:r>
      <w:r w:rsidR="0029546D" w:rsidRPr="00774831">
        <w:t xml:space="preserve"> of concern and recommendations</w:t>
      </w:r>
    </w:p>
    <w:p w:rsidR="0014363F" w:rsidRPr="00774831" w:rsidRDefault="00CB1A54" w:rsidP="003C49C6">
      <w:pPr>
        <w:pStyle w:val="H1G"/>
      </w:pPr>
      <w:r w:rsidRPr="00774831">
        <w:tab/>
      </w:r>
      <w:r w:rsidR="003C49C6" w:rsidRPr="00774831">
        <w:t>A</w:t>
      </w:r>
      <w:r w:rsidRPr="00774831">
        <w:t>.</w:t>
      </w:r>
      <w:r w:rsidRPr="00774831">
        <w:tab/>
      </w:r>
      <w:r w:rsidR="00D50DA0" w:rsidRPr="00774831">
        <w:t>G</w:t>
      </w:r>
      <w:r w:rsidR="009B63C6" w:rsidRPr="00774831">
        <w:t xml:space="preserve">eneral </w:t>
      </w:r>
      <w:r w:rsidR="00D50DA0" w:rsidRPr="00774831">
        <w:t xml:space="preserve">principles and </w:t>
      </w:r>
      <w:r w:rsidR="009B63C6" w:rsidRPr="00774831">
        <w:t>obligations (arts. 1 and 4)</w:t>
      </w:r>
    </w:p>
    <w:p w:rsidR="00DB2285" w:rsidRPr="00774831" w:rsidRDefault="00774831" w:rsidP="00774831">
      <w:pPr>
        <w:pStyle w:val="SingleTxtG"/>
      </w:pPr>
      <w:r w:rsidRPr="00774831">
        <w:t>8.</w:t>
      </w:r>
      <w:r w:rsidRPr="00774831">
        <w:tab/>
      </w:r>
      <w:r w:rsidR="00727FA9" w:rsidRPr="00774831">
        <w:t xml:space="preserve">The Committee notes </w:t>
      </w:r>
      <w:r w:rsidR="00AF2F98" w:rsidRPr="00774831">
        <w:t>Order No. 3086 of 29 November 2005, defining disability and setting forth the proof required to obtain a disability card</w:t>
      </w:r>
      <w:r w:rsidR="00D32FE7" w:rsidRPr="00774831">
        <w:t>, and the State party’s endeavour to shift from a medical approach to a social approach.</w:t>
      </w:r>
      <w:r w:rsidR="00E327DE" w:rsidRPr="00774831">
        <w:t xml:space="preserve">  However, it is concerned</w:t>
      </w:r>
      <w:r w:rsidR="00D32FE7" w:rsidRPr="00774831">
        <w:t xml:space="preserve"> </w:t>
      </w:r>
      <w:r w:rsidR="003A163F" w:rsidRPr="00774831">
        <w:t>at the risk of exclusion of persons</w:t>
      </w:r>
      <w:r w:rsidR="00DB2285" w:rsidRPr="00774831">
        <w:t xml:space="preserve"> who should be protected by the Convention</w:t>
      </w:r>
      <w:r w:rsidR="00C85E6A" w:rsidRPr="00774831">
        <w:t>, in particular</w:t>
      </w:r>
      <w:r w:rsidR="00573421" w:rsidRPr="00774831">
        <w:t xml:space="preserve"> persons with </w:t>
      </w:r>
      <w:r w:rsidR="00FF73E1" w:rsidRPr="00774831">
        <w:t>psychosocial</w:t>
      </w:r>
      <w:r w:rsidR="00573421" w:rsidRPr="00774831">
        <w:t xml:space="preserve"> </w:t>
      </w:r>
      <w:r w:rsidR="0099165E" w:rsidRPr="00774831">
        <w:t xml:space="preserve">disabilities </w:t>
      </w:r>
      <w:r w:rsidR="00CE42B9" w:rsidRPr="00774831">
        <w:t xml:space="preserve">(“mental illness”) </w:t>
      </w:r>
      <w:r w:rsidR="00573421" w:rsidRPr="00774831">
        <w:t>or intellectual disabilities</w:t>
      </w:r>
      <w:r w:rsidR="00CE42B9" w:rsidRPr="00774831">
        <w:t xml:space="preserve">, or others </w:t>
      </w:r>
      <w:r w:rsidR="00545E4A" w:rsidRPr="00774831">
        <w:t>who are un</w:t>
      </w:r>
      <w:r w:rsidR="00CE42B9" w:rsidRPr="00774831">
        <w:t>able to obtain a disability card, either due to disability o</w:t>
      </w:r>
      <w:r w:rsidR="000122E8" w:rsidRPr="00774831">
        <w:t>r</w:t>
      </w:r>
      <w:r w:rsidR="00CE42B9" w:rsidRPr="00774831">
        <w:t xml:space="preserve"> by association with a disability</w:t>
      </w:r>
      <w:r w:rsidR="00573421" w:rsidRPr="00774831">
        <w:t>.</w:t>
      </w:r>
    </w:p>
    <w:p w:rsidR="00AF2F98" w:rsidRPr="00774831" w:rsidRDefault="00774831" w:rsidP="00774831">
      <w:pPr>
        <w:pStyle w:val="SingleTxtG"/>
        <w:rPr>
          <w:b/>
        </w:rPr>
      </w:pPr>
      <w:r w:rsidRPr="00774831">
        <w:t>9.</w:t>
      </w:r>
      <w:r w:rsidRPr="00774831">
        <w:tab/>
      </w:r>
      <w:r w:rsidR="003A163F" w:rsidRPr="00774831">
        <w:t xml:space="preserve"> </w:t>
      </w:r>
      <w:r w:rsidR="00DB2285" w:rsidRPr="00774831">
        <w:rPr>
          <w:b/>
        </w:rPr>
        <w:t xml:space="preserve">The Committee invites the State party to </w:t>
      </w:r>
      <w:r w:rsidR="003A3BCB" w:rsidRPr="00774831">
        <w:rPr>
          <w:b/>
        </w:rPr>
        <w:t>review</w:t>
      </w:r>
      <w:r w:rsidR="00E327DE" w:rsidRPr="00774831">
        <w:rPr>
          <w:b/>
        </w:rPr>
        <w:t xml:space="preserve"> </w:t>
      </w:r>
      <w:r w:rsidR="00545E4A" w:rsidRPr="00774831">
        <w:rPr>
          <w:b/>
        </w:rPr>
        <w:t xml:space="preserve">and reformulate </w:t>
      </w:r>
      <w:r w:rsidR="00E327DE" w:rsidRPr="00774831">
        <w:rPr>
          <w:b/>
        </w:rPr>
        <w:t>the</w:t>
      </w:r>
      <w:r w:rsidR="0048327F" w:rsidRPr="00774831">
        <w:rPr>
          <w:b/>
        </w:rPr>
        <w:t xml:space="preserve"> </w:t>
      </w:r>
      <w:r w:rsidR="00DB2285" w:rsidRPr="00774831">
        <w:rPr>
          <w:b/>
        </w:rPr>
        <w:t>definition of disability</w:t>
      </w:r>
      <w:r w:rsidR="00545E4A" w:rsidRPr="00774831">
        <w:rPr>
          <w:b/>
        </w:rPr>
        <w:t xml:space="preserve"> </w:t>
      </w:r>
      <w:r w:rsidR="00573421" w:rsidRPr="00774831">
        <w:rPr>
          <w:b/>
        </w:rPr>
        <w:t>based on the Convention</w:t>
      </w:r>
      <w:r w:rsidR="00DB2285" w:rsidRPr="00774831">
        <w:rPr>
          <w:b/>
        </w:rPr>
        <w:t>.</w:t>
      </w:r>
    </w:p>
    <w:p w:rsidR="003A3BCB" w:rsidRPr="00774831" w:rsidRDefault="00774831" w:rsidP="00774831">
      <w:pPr>
        <w:pStyle w:val="SingleTxtG"/>
        <w:rPr>
          <w:b/>
        </w:rPr>
      </w:pPr>
      <w:r w:rsidRPr="00774831">
        <w:t>10.</w:t>
      </w:r>
      <w:r w:rsidRPr="00774831">
        <w:rPr>
          <w:b/>
        </w:rPr>
        <w:tab/>
      </w:r>
      <w:r w:rsidR="003A3BCB" w:rsidRPr="00774831">
        <w:rPr>
          <w:b/>
        </w:rPr>
        <w:t xml:space="preserve">In accordance with </w:t>
      </w:r>
      <w:r w:rsidR="00545E4A" w:rsidRPr="00774831">
        <w:rPr>
          <w:b/>
        </w:rPr>
        <w:t>a</w:t>
      </w:r>
      <w:r w:rsidR="003A3BCB" w:rsidRPr="00774831">
        <w:rPr>
          <w:b/>
        </w:rPr>
        <w:t>rticle 4</w:t>
      </w:r>
      <w:r w:rsidR="00545E4A" w:rsidRPr="00774831">
        <w:rPr>
          <w:b/>
        </w:rPr>
        <w:t xml:space="preserve">, paragraph </w:t>
      </w:r>
      <w:r w:rsidR="003A3BCB" w:rsidRPr="00774831">
        <w:rPr>
          <w:b/>
        </w:rPr>
        <w:t>3</w:t>
      </w:r>
      <w:r w:rsidR="00545E4A" w:rsidRPr="00774831">
        <w:rPr>
          <w:b/>
        </w:rPr>
        <w:t>,</w:t>
      </w:r>
      <w:r w:rsidR="003A3BCB" w:rsidRPr="00774831">
        <w:rPr>
          <w:b/>
        </w:rPr>
        <w:t xml:space="preserve"> of the Convention, the Committee recommends</w:t>
      </w:r>
      <w:r w:rsidR="00545E4A" w:rsidRPr="00774831">
        <w:rPr>
          <w:b/>
        </w:rPr>
        <w:t xml:space="preserve"> that</w:t>
      </w:r>
      <w:r w:rsidR="003A3BCB" w:rsidRPr="00774831">
        <w:rPr>
          <w:b/>
        </w:rPr>
        <w:t xml:space="preserve"> the State party encourage and support the creation, capacity-building and effective participation of representative organizations or groups of persons with disabilities</w:t>
      </w:r>
      <w:r w:rsidR="00545E4A" w:rsidRPr="00774831">
        <w:rPr>
          <w:b/>
        </w:rPr>
        <w:t>,</w:t>
      </w:r>
      <w:r w:rsidR="003A3BCB" w:rsidRPr="00774831">
        <w:rPr>
          <w:b/>
        </w:rPr>
        <w:t xml:space="preserve"> and parents of persons with disabilities at the local and national levels in the conception</w:t>
      </w:r>
      <w:r w:rsidR="00545E4A" w:rsidRPr="00774831">
        <w:rPr>
          <w:b/>
        </w:rPr>
        <w:t xml:space="preserve">, </w:t>
      </w:r>
      <w:r w:rsidR="003A3BCB" w:rsidRPr="00774831">
        <w:rPr>
          <w:b/>
        </w:rPr>
        <w:t>design, reform and implementation of policies and programmes.  In particular</w:t>
      </w:r>
      <w:r w:rsidR="00545E4A" w:rsidRPr="00774831">
        <w:rPr>
          <w:b/>
        </w:rPr>
        <w:t xml:space="preserve">, the Committee urges the State party </w:t>
      </w:r>
      <w:r w:rsidR="003A3BCB" w:rsidRPr="00774831">
        <w:rPr>
          <w:b/>
        </w:rPr>
        <w:t>to ensure that persons with disabilities are consulted and actively involved, including as members of the Constitutional Council</w:t>
      </w:r>
      <w:r w:rsidR="00545E4A" w:rsidRPr="00774831">
        <w:rPr>
          <w:b/>
        </w:rPr>
        <w:t>,</w:t>
      </w:r>
      <w:r w:rsidR="003A3BCB" w:rsidRPr="00774831">
        <w:rPr>
          <w:b/>
        </w:rPr>
        <w:t xml:space="preserve"> </w:t>
      </w:r>
      <w:r w:rsidR="00545E4A" w:rsidRPr="00774831">
        <w:rPr>
          <w:b/>
        </w:rPr>
        <w:t>in the drafting of the new Constitution.</w:t>
      </w:r>
    </w:p>
    <w:p w:rsidR="003A3BCB" w:rsidRPr="00774831" w:rsidRDefault="00774831" w:rsidP="00774831">
      <w:pPr>
        <w:pStyle w:val="SingleTxtG"/>
        <w:rPr>
          <w:b/>
        </w:rPr>
      </w:pPr>
      <w:r w:rsidRPr="00774831">
        <w:t>11.</w:t>
      </w:r>
      <w:r w:rsidRPr="00774831">
        <w:rPr>
          <w:b/>
        </w:rPr>
        <w:tab/>
      </w:r>
      <w:r w:rsidR="003A3BCB" w:rsidRPr="00774831">
        <w:rPr>
          <w:b/>
        </w:rPr>
        <w:t>The Committee recommends that the State party take steps to further facilitate the full participation of women, men, girls and boys with disabilities and their families in society.</w:t>
      </w:r>
    </w:p>
    <w:p w:rsidR="00EF22BF" w:rsidRPr="00774831" w:rsidRDefault="00264B45" w:rsidP="003C49C6">
      <w:pPr>
        <w:pStyle w:val="H1G"/>
      </w:pPr>
      <w:r w:rsidRPr="00774831">
        <w:tab/>
      </w:r>
      <w:r w:rsidR="003C49C6" w:rsidRPr="00774831">
        <w:t>B</w:t>
      </w:r>
      <w:r w:rsidRPr="00774831">
        <w:t>.</w:t>
      </w:r>
      <w:r w:rsidRPr="00774831">
        <w:tab/>
      </w:r>
      <w:r w:rsidR="0014363F" w:rsidRPr="00774831">
        <w:t>Specific rights</w:t>
      </w:r>
      <w:r w:rsidR="00697231" w:rsidRPr="00774831">
        <w:t xml:space="preserve"> (arts. 5</w:t>
      </w:r>
      <w:r w:rsidR="00584986" w:rsidRPr="00774831">
        <w:t>-</w:t>
      </w:r>
      <w:r w:rsidR="00697231" w:rsidRPr="00774831">
        <w:t>30)</w:t>
      </w:r>
      <w:r w:rsidR="00B65031" w:rsidRPr="00774831">
        <w:t xml:space="preserve">  </w:t>
      </w:r>
    </w:p>
    <w:p w:rsidR="00EF22BF" w:rsidRPr="00774831" w:rsidRDefault="00EF22BF" w:rsidP="00EF22BF">
      <w:pPr>
        <w:pStyle w:val="H23G"/>
      </w:pPr>
      <w:r w:rsidRPr="00774831">
        <w:tab/>
      </w:r>
      <w:r w:rsidRPr="00774831">
        <w:tab/>
      </w:r>
      <w:r w:rsidR="00011AE3" w:rsidRPr="00774831">
        <w:t>Equality and n</w:t>
      </w:r>
      <w:r w:rsidRPr="00774831">
        <w:t>on-discrimination</w:t>
      </w:r>
      <w:r w:rsidR="00011AE3" w:rsidRPr="00774831">
        <w:t xml:space="preserve"> (art. 5)</w:t>
      </w:r>
    </w:p>
    <w:p w:rsidR="00774831" w:rsidRDefault="00774831" w:rsidP="00B222D6">
      <w:pPr>
        <w:pStyle w:val="SingleTxtG"/>
      </w:pPr>
      <w:r w:rsidRPr="00774831">
        <w:t>12.</w:t>
      </w:r>
      <w:r w:rsidRPr="00774831">
        <w:tab/>
      </w:r>
      <w:r w:rsidR="0091662B" w:rsidRPr="00774831">
        <w:t xml:space="preserve">The Committee takes note of Law </w:t>
      </w:r>
      <w:r w:rsidR="000122E8" w:rsidRPr="00774831">
        <w:t xml:space="preserve">No. </w:t>
      </w:r>
      <w:r w:rsidR="0091662B" w:rsidRPr="00774831">
        <w:t xml:space="preserve">2005-83 on the advancement and protection of persons with disabilities. However it regrets the lack of </w:t>
      </w:r>
      <w:r w:rsidR="003A3BCB" w:rsidRPr="00774831">
        <w:t>clarity</w:t>
      </w:r>
      <w:r w:rsidR="0091662B" w:rsidRPr="00774831">
        <w:t xml:space="preserve"> on the application of the concept of reasonable accommodation</w:t>
      </w:r>
      <w:r w:rsidR="00A3778F" w:rsidRPr="00774831">
        <w:t>.</w:t>
      </w:r>
      <w:r w:rsidR="0091662B" w:rsidRPr="00774831">
        <w:t xml:space="preserve"> </w:t>
      </w:r>
    </w:p>
    <w:p w:rsidR="00C57FE4" w:rsidRPr="00774831" w:rsidRDefault="00774831" w:rsidP="00B222D6">
      <w:pPr>
        <w:pStyle w:val="SingleTxtG"/>
      </w:pPr>
      <w:r w:rsidRPr="00774831">
        <w:t>13.</w:t>
      </w:r>
      <w:r w:rsidRPr="00774831">
        <w:tab/>
      </w:r>
      <w:r w:rsidR="0091662B" w:rsidRPr="00B222D6">
        <w:rPr>
          <w:b/>
        </w:rPr>
        <w:t xml:space="preserve">The </w:t>
      </w:r>
      <w:r w:rsidR="003A3BCB" w:rsidRPr="00B222D6">
        <w:rPr>
          <w:b/>
        </w:rPr>
        <w:t xml:space="preserve">Committee recommends that the </w:t>
      </w:r>
      <w:r w:rsidR="0091662B" w:rsidRPr="00B222D6">
        <w:rPr>
          <w:b/>
        </w:rPr>
        <w:t xml:space="preserve">State party incorporate the definition of reasonable accommodation in </w:t>
      </w:r>
      <w:r w:rsidR="003A3BCB" w:rsidRPr="00B222D6">
        <w:rPr>
          <w:b/>
        </w:rPr>
        <w:t xml:space="preserve">national </w:t>
      </w:r>
      <w:r w:rsidR="0091662B" w:rsidRPr="00B222D6">
        <w:rPr>
          <w:b/>
        </w:rPr>
        <w:t>law</w:t>
      </w:r>
      <w:r w:rsidR="00A3778F" w:rsidRPr="00B222D6">
        <w:rPr>
          <w:b/>
        </w:rPr>
        <w:t>,</w:t>
      </w:r>
      <w:r w:rsidR="0091662B" w:rsidRPr="00B222D6">
        <w:rPr>
          <w:b/>
        </w:rPr>
        <w:t xml:space="preserve"> </w:t>
      </w:r>
      <w:r w:rsidR="003A3BCB" w:rsidRPr="00B222D6">
        <w:rPr>
          <w:b/>
        </w:rPr>
        <w:t xml:space="preserve">and apply it </w:t>
      </w:r>
      <w:r w:rsidR="0091662B" w:rsidRPr="00B222D6">
        <w:rPr>
          <w:b/>
        </w:rPr>
        <w:t xml:space="preserve">in accordance with article 2 of the Convention, </w:t>
      </w:r>
      <w:r w:rsidR="003A3BCB" w:rsidRPr="00B222D6">
        <w:rPr>
          <w:b/>
        </w:rPr>
        <w:t xml:space="preserve">in particular by ensuring </w:t>
      </w:r>
      <w:r w:rsidR="0091662B" w:rsidRPr="00B222D6">
        <w:rPr>
          <w:b/>
        </w:rPr>
        <w:t>that the law explicitly recogni</w:t>
      </w:r>
      <w:r w:rsidR="00A3778F" w:rsidRPr="00B222D6">
        <w:rPr>
          <w:b/>
        </w:rPr>
        <w:t>z</w:t>
      </w:r>
      <w:r w:rsidR="0091662B" w:rsidRPr="00B222D6">
        <w:rPr>
          <w:b/>
        </w:rPr>
        <w:t>e</w:t>
      </w:r>
      <w:r w:rsidR="007B0FE3" w:rsidRPr="00B222D6">
        <w:rPr>
          <w:b/>
        </w:rPr>
        <w:t>s</w:t>
      </w:r>
      <w:r w:rsidR="0091662B" w:rsidRPr="00B222D6">
        <w:rPr>
          <w:b/>
        </w:rPr>
        <w:t xml:space="preserve"> the denial of reasonable accommodation </w:t>
      </w:r>
      <w:r w:rsidR="000122E8" w:rsidRPr="00B222D6">
        <w:rPr>
          <w:b/>
        </w:rPr>
        <w:t xml:space="preserve">as </w:t>
      </w:r>
      <w:r w:rsidR="00913571" w:rsidRPr="00B222D6">
        <w:rPr>
          <w:b/>
        </w:rPr>
        <w:t>disability</w:t>
      </w:r>
      <w:r w:rsidR="00A3778F" w:rsidRPr="00B222D6">
        <w:rPr>
          <w:b/>
        </w:rPr>
        <w:t>-</w:t>
      </w:r>
      <w:r w:rsidR="00913571" w:rsidRPr="00B222D6">
        <w:rPr>
          <w:b/>
        </w:rPr>
        <w:t xml:space="preserve">based discrimination. The Committee invites the State party to make greater efforts </w:t>
      </w:r>
      <w:r w:rsidR="003A3BCB" w:rsidRPr="00B222D6">
        <w:rPr>
          <w:b/>
        </w:rPr>
        <w:t>to raise awareness on non-discrimination among members of the legal profession, particularly the judiciary, and persons with disabilities themselves, including through training programmes on the concept of reasonable accommodation.</w:t>
      </w:r>
      <w:r w:rsidR="00F177C6" w:rsidRPr="00B222D6">
        <w:rPr>
          <w:b/>
        </w:rPr>
        <w:t xml:space="preserve"> </w:t>
      </w:r>
      <w:r w:rsidR="00C57FE4" w:rsidRPr="00B222D6">
        <w:rPr>
          <w:b/>
        </w:rPr>
        <w:t xml:space="preserve">The Committee </w:t>
      </w:r>
      <w:r w:rsidR="007E0033" w:rsidRPr="00B222D6">
        <w:rPr>
          <w:b/>
        </w:rPr>
        <w:t xml:space="preserve">recommends that </w:t>
      </w:r>
      <w:r w:rsidR="00C57FE4" w:rsidRPr="00B222D6">
        <w:rPr>
          <w:b/>
        </w:rPr>
        <w:t xml:space="preserve">the State party </w:t>
      </w:r>
      <w:r w:rsidR="007E0033" w:rsidRPr="00B222D6">
        <w:rPr>
          <w:b/>
        </w:rPr>
        <w:t xml:space="preserve">act with urgency </w:t>
      </w:r>
      <w:r w:rsidR="00C57FE4" w:rsidRPr="00B222D6">
        <w:rPr>
          <w:b/>
        </w:rPr>
        <w:t>to include an explicit prohibition of disability</w:t>
      </w:r>
      <w:r w:rsidR="00953A87" w:rsidRPr="00B222D6">
        <w:rPr>
          <w:b/>
        </w:rPr>
        <w:t>-</w:t>
      </w:r>
      <w:r w:rsidR="00C57FE4" w:rsidRPr="00B222D6">
        <w:rPr>
          <w:b/>
        </w:rPr>
        <w:t xml:space="preserve">based discrimination in </w:t>
      </w:r>
      <w:r w:rsidR="000B1029" w:rsidRPr="00B222D6">
        <w:rPr>
          <w:b/>
        </w:rPr>
        <w:t xml:space="preserve">an anti-discrimination law, as well as ensure that disability-based discrimination </w:t>
      </w:r>
      <w:r w:rsidR="007E0033" w:rsidRPr="00B222D6">
        <w:rPr>
          <w:b/>
        </w:rPr>
        <w:t>is</w:t>
      </w:r>
      <w:r w:rsidR="000B1029" w:rsidRPr="00B222D6">
        <w:rPr>
          <w:b/>
        </w:rPr>
        <w:t xml:space="preserve"> prohibited in </w:t>
      </w:r>
      <w:r w:rsidR="007E0033" w:rsidRPr="00B222D6">
        <w:rPr>
          <w:b/>
        </w:rPr>
        <w:t>all laws, particularly those governing elections, labour, education, and health, among others</w:t>
      </w:r>
      <w:r w:rsidR="007E0033" w:rsidRPr="00774831">
        <w:t>.</w:t>
      </w:r>
    </w:p>
    <w:p w:rsidR="001F06FF" w:rsidRPr="00774831" w:rsidRDefault="001F06FF" w:rsidP="001F06FF">
      <w:pPr>
        <w:pStyle w:val="H23G"/>
        <w:ind w:left="1100" w:firstLine="0"/>
      </w:pPr>
      <w:r w:rsidRPr="00774831">
        <w:tab/>
        <w:t>Women with disabilities (art. 6)</w:t>
      </w:r>
    </w:p>
    <w:p w:rsidR="00774831" w:rsidRDefault="00774831" w:rsidP="00774831">
      <w:pPr>
        <w:pStyle w:val="SingleTxtG"/>
      </w:pPr>
      <w:r w:rsidRPr="00774831">
        <w:t>14.</w:t>
      </w:r>
      <w:r w:rsidRPr="00774831">
        <w:tab/>
      </w:r>
      <w:r w:rsidR="007E0033" w:rsidRPr="00774831">
        <w:t>While noting</w:t>
      </w:r>
      <w:r w:rsidR="001F06FF" w:rsidRPr="00774831">
        <w:t xml:space="preserve"> the improvements </w:t>
      </w:r>
      <w:r w:rsidR="00A3778F" w:rsidRPr="00774831">
        <w:t xml:space="preserve">in </w:t>
      </w:r>
      <w:r w:rsidR="001F06FF" w:rsidRPr="00774831">
        <w:t xml:space="preserve">the condition of women in general, </w:t>
      </w:r>
      <w:r w:rsidR="007E0033" w:rsidRPr="00774831">
        <w:t>the Committee</w:t>
      </w:r>
      <w:r w:rsidR="001F06FF" w:rsidRPr="00774831">
        <w:t xml:space="preserve"> is con</w:t>
      </w:r>
      <w:r w:rsidR="007E0033" w:rsidRPr="00774831">
        <w:t>c</w:t>
      </w:r>
      <w:r w:rsidR="001F06FF" w:rsidRPr="00774831">
        <w:t xml:space="preserve">erned by the negative perception of women with disabilities within </w:t>
      </w:r>
      <w:r w:rsidR="00A3778F" w:rsidRPr="00774831">
        <w:t xml:space="preserve">the </w:t>
      </w:r>
      <w:r w:rsidR="001F06FF" w:rsidRPr="00774831">
        <w:t>famil</w:t>
      </w:r>
      <w:r w:rsidR="00A3778F" w:rsidRPr="00774831">
        <w:t>y</w:t>
      </w:r>
      <w:r w:rsidR="001F06FF" w:rsidRPr="00774831">
        <w:t xml:space="preserve"> and society, and the reported cultural, traditional and family pressures </w:t>
      </w:r>
      <w:r w:rsidR="00A3778F" w:rsidRPr="00774831">
        <w:t>that</w:t>
      </w:r>
      <w:r w:rsidR="001F06FF" w:rsidRPr="00774831">
        <w:t xml:space="preserve"> favour the concealment of women with disabilities</w:t>
      </w:r>
      <w:r w:rsidR="00A3778F" w:rsidRPr="00774831">
        <w:t>,</w:t>
      </w:r>
      <w:r w:rsidR="001F06FF" w:rsidRPr="00774831">
        <w:t xml:space="preserve"> and prevents them from obtaining a disability card, thereby limiting their opportunities to participate in society</w:t>
      </w:r>
      <w:r w:rsidR="00A3778F" w:rsidRPr="00774831">
        <w:t>,</w:t>
      </w:r>
      <w:r w:rsidR="001F06FF" w:rsidRPr="00774831">
        <w:t xml:space="preserve"> and develop to their full potential</w:t>
      </w:r>
      <w:r w:rsidR="007E0033" w:rsidRPr="00774831">
        <w:t>.</w:t>
      </w:r>
    </w:p>
    <w:p w:rsidR="001F06FF" w:rsidRPr="00774831" w:rsidRDefault="00774831" w:rsidP="00774831">
      <w:pPr>
        <w:pStyle w:val="SingleTxtG"/>
      </w:pPr>
      <w:r w:rsidRPr="00774831">
        <w:t>15.</w:t>
      </w:r>
      <w:r w:rsidRPr="00774831">
        <w:tab/>
      </w:r>
      <w:r w:rsidR="001F06FF" w:rsidRPr="00D16FA4">
        <w:rPr>
          <w:b/>
        </w:rPr>
        <w:t>The Committee recommends that the State party:</w:t>
      </w:r>
    </w:p>
    <w:p w:rsidR="001F06FF" w:rsidRPr="00774831" w:rsidRDefault="001F06FF" w:rsidP="00A3778F">
      <w:pPr>
        <w:pStyle w:val="SingleTxtG"/>
        <w:ind w:left="1200" w:firstLine="600"/>
        <w:rPr>
          <w:b/>
          <w:bCs/>
        </w:rPr>
      </w:pPr>
      <w:r w:rsidRPr="00774831">
        <w:rPr>
          <w:b/>
          <w:bCs/>
        </w:rPr>
        <w:t>(a)</w:t>
      </w:r>
      <w:r w:rsidRPr="00774831">
        <w:rPr>
          <w:b/>
          <w:bCs/>
        </w:rPr>
        <w:tab/>
        <w:t xml:space="preserve">Design and implement awareness-raising campaigns </w:t>
      </w:r>
      <w:r w:rsidR="007E0033" w:rsidRPr="00774831">
        <w:rPr>
          <w:b/>
          <w:bCs/>
        </w:rPr>
        <w:t xml:space="preserve">and education programmes </w:t>
      </w:r>
      <w:r w:rsidRPr="00774831">
        <w:rPr>
          <w:b/>
          <w:bCs/>
        </w:rPr>
        <w:t xml:space="preserve">throughout society, including at the family level, </w:t>
      </w:r>
      <w:r w:rsidR="00A3778F" w:rsidRPr="00774831">
        <w:rPr>
          <w:b/>
          <w:bCs/>
        </w:rPr>
        <w:t>on</w:t>
      </w:r>
      <w:r w:rsidRPr="00774831">
        <w:rPr>
          <w:b/>
          <w:bCs/>
        </w:rPr>
        <w:t xml:space="preserve"> women with disabilities</w:t>
      </w:r>
      <w:r w:rsidR="00A3778F" w:rsidRPr="00774831">
        <w:rPr>
          <w:b/>
          <w:bCs/>
        </w:rPr>
        <w:t xml:space="preserve"> in order</w:t>
      </w:r>
      <w:r w:rsidRPr="00774831">
        <w:rPr>
          <w:b/>
          <w:bCs/>
        </w:rPr>
        <w:t xml:space="preserve"> to foster respect for their rights and dignity; combat stereotypes, prejudices and harmful practices; and promote awareness of their capabilities and contributions</w:t>
      </w:r>
      <w:r w:rsidR="00A3778F" w:rsidRPr="00774831">
        <w:rPr>
          <w:b/>
          <w:bCs/>
        </w:rPr>
        <w:t>;</w:t>
      </w:r>
      <w:r w:rsidRPr="00774831">
        <w:rPr>
          <w:b/>
          <w:bCs/>
        </w:rPr>
        <w:t xml:space="preserve"> </w:t>
      </w:r>
    </w:p>
    <w:p w:rsidR="001F06FF" w:rsidRPr="00774831" w:rsidRDefault="001F06FF" w:rsidP="00A3778F">
      <w:pPr>
        <w:pStyle w:val="SingleTxtG"/>
        <w:ind w:left="1200" w:firstLine="600"/>
        <w:rPr>
          <w:b/>
          <w:bCs/>
        </w:rPr>
      </w:pPr>
      <w:r w:rsidRPr="00774831">
        <w:rPr>
          <w:b/>
          <w:bCs/>
        </w:rPr>
        <w:t>(b)</w:t>
      </w:r>
      <w:r w:rsidRPr="00774831">
        <w:rPr>
          <w:b/>
          <w:bCs/>
        </w:rPr>
        <w:tab/>
        <w:t xml:space="preserve">Ensure the visibility of women with disabilities in the collection of data and statistics (see </w:t>
      </w:r>
      <w:r w:rsidR="00580862" w:rsidRPr="00774831">
        <w:rPr>
          <w:b/>
          <w:bCs/>
        </w:rPr>
        <w:t>paragraph 37</w:t>
      </w:r>
      <w:r w:rsidR="00CF255D" w:rsidRPr="00774831">
        <w:rPr>
          <w:b/>
          <w:bCs/>
        </w:rPr>
        <w:t xml:space="preserve"> below</w:t>
      </w:r>
      <w:r w:rsidRPr="00774831">
        <w:rPr>
          <w:b/>
          <w:bCs/>
        </w:rPr>
        <w:t xml:space="preserve">); </w:t>
      </w:r>
    </w:p>
    <w:p w:rsidR="001F06FF" w:rsidRPr="00774831" w:rsidRDefault="001F06FF" w:rsidP="00A3778F">
      <w:pPr>
        <w:pStyle w:val="SingleTxtG"/>
        <w:ind w:left="1200" w:firstLine="600"/>
        <w:rPr>
          <w:b/>
          <w:bCs/>
        </w:rPr>
      </w:pPr>
      <w:r w:rsidRPr="00774831">
        <w:rPr>
          <w:b/>
          <w:bCs/>
        </w:rPr>
        <w:t>(c)</w:t>
      </w:r>
      <w:r w:rsidRPr="00774831">
        <w:rPr>
          <w:b/>
          <w:bCs/>
        </w:rPr>
        <w:tab/>
        <w:t xml:space="preserve">Undertake studies and research in order to identify the situation and specific </w:t>
      </w:r>
      <w:r w:rsidR="006258B4" w:rsidRPr="00774831">
        <w:rPr>
          <w:b/>
          <w:bCs/>
        </w:rPr>
        <w:t>requirements</w:t>
      </w:r>
      <w:r w:rsidRPr="00774831">
        <w:rPr>
          <w:b/>
          <w:bCs/>
        </w:rPr>
        <w:t xml:space="preserve"> of women with disabilities</w:t>
      </w:r>
      <w:r w:rsidR="00CF255D" w:rsidRPr="00774831">
        <w:rPr>
          <w:b/>
          <w:bCs/>
        </w:rPr>
        <w:t>, with a view to</w:t>
      </w:r>
      <w:r w:rsidRPr="00774831">
        <w:rPr>
          <w:b/>
          <w:bCs/>
        </w:rPr>
        <w:t xml:space="preserve"> elaborat</w:t>
      </w:r>
      <w:r w:rsidR="00CF255D" w:rsidRPr="00774831">
        <w:rPr>
          <w:b/>
          <w:bCs/>
        </w:rPr>
        <w:t>ing</w:t>
      </w:r>
      <w:r w:rsidRPr="00774831">
        <w:rPr>
          <w:b/>
          <w:bCs/>
        </w:rPr>
        <w:t xml:space="preserve"> and adopt</w:t>
      </w:r>
      <w:r w:rsidR="00CF255D" w:rsidRPr="00774831">
        <w:rPr>
          <w:b/>
          <w:bCs/>
        </w:rPr>
        <w:t>ing</w:t>
      </w:r>
      <w:r w:rsidRPr="00774831">
        <w:rPr>
          <w:b/>
          <w:bCs/>
        </w:rPr>
        <w:t xml:space="preserve"> strategies, policies and programmes</w:t>
      </w:r>
      <w:r w:rsidR="006258B4" w:rsidRPr="00774831">
        <w:rPr>
          <w:b/>
          <w:bCs/>
        </w:rPr>
        <w:t>, especially in the fields of education, employment, health and social protection, t</w:t>
      </w:r>
      <w:r w:rsidR="00CF255D" w:rsidRPr="00774831">
        <w:rPr>
          <w:b/>
          <w:bCs/>
        </w:rPr>
        <w:t>o</w:t>
      </w:r>
      <w:r w:rsidRPr="00774831">
        <w:rPr>
          <w:b/>
          <w:bCs/>
        </w:rPr>
        <w:t xml:space="preserve"> promote their autonomy and full participation in society</w:t>
      </w:r>
      <w:r w:rsidR="00CF255D" w:rsidRPr="00774831">
        <w:rPr>
          <w:b/>
          <w:bCs/>
        </w:rPr>
        <w:t>,</w:t>
      </w:r>
      <w:r w:rsidR="006258B4" w:rsidRPr="00774831">
        <w:rPr>
          <w:b/>
          <w:bCs/>
        </w:rPr>
        <w:t xml:space="preserve"> and </w:t>
      </w:r>
      <w:r w:rsidR="00CF255D" w:rsidRPr="00774831">
        <w:rPr>
          <w:b/>
          <w:bCs/>
        </w:rPr>
        <w:t xml:space="preserve">to </w:t>
      </w:r>
      <w:r w:rsidR="006258B4" w:rsidRPr="00774831">
        <w:rPr>
          <w:b/>
          <w:bCs/>
        </w:rPr>
        <w:t>combat violence against women</w:t>
      </w:r>
      <w:r w:rsidRPr="00774831">
        <w:rPr>
          <w:b/>
          <w:bCs/>
        </w:rPr>
        <w:t>.</w:t>
      </w:r>
    </w:p>
    <w:p w:rsidR="001F06FF" w:rsidRPr="00774831" w:rsidRDefault="001F06FF" w:rsidP="001F06FF">
      <w:pPr>
        <w:pStyle w:val="H23G"/>
        <w:ind w:left="1100" w:firstLine="0"/>
      </w:pPr>
      <w:r w:rsidRPr="00774831">
        <w:t>Children with disabilities (art. 7)</w:t>
      </w:r>
    </w:p>
    <w:p w:rsidR="001F06FF" w:rsidRPr="00774831" w:rsidRDefault="00774831" w:rsidP="00B222D6">
      <w:pPr>
        <w:pStyle w:val="SingleTxtG"/>
      </w:pPr>
      <w:r w:rsidRPr="00774831">
        <w:t>16.</w:t>
      </w:r>
      <w:r w:rsidRPr="00774831">
        <w:tab/>
      </w:r>
      <w:r w:rsidR="001F06FF" w:rsidRPr="00774831">
        <w:t>The Committee is particularly concerned at the low rate of reporting (</w:t>
      </w:r>
      <w:r w:rsidR="001F06FF" w:rsidRPr="00774831">
        <w:rPr>
          <w:i/>
        </w:rPr>
        <w:t>signalement</w:t>
      </w:r>
      <w:r w:rsidR="001F06FF" w:rsidRPr="00774831">
        <w:t xml:space="preserve">) of cases of </w:t>
      </w:r>
      <w:r w:rsidR="00EE694B" w:rsidRPr="00774831">
        <w:t>habitual</w:t>
      </w:r>
      <w:r w:rsidR="001F06FF" w:rsidRPr="00774831">
        <w:t xml:space="preserve"> mistreatment</w:t>
      </w:r>
      <w:r w:rsidR="00EE694B" w:rsidRPr="00774831">
        <w:t xml:space="preserve"> of children</w:t>
      </w:r>
      <w:r w:rsidR="00913571" w:rsidRPr="00774831">
        <w:t>, including children</w:t>
      </w:r>
      <w:r w:rsidR="00EE694B" w:rsidRPr="00774831">
        <w:t xml:space="preserve"> with disabilities</w:t>
      </w:r>
      <w:r w:rsidR="001F06FF" w:rsidRPr="00774831">
        <w:t xml:space="preserve">, which </w:t>
      </w:r>
      <w:r w:rsidR="00EE694B" w:rsidRPr="00774831">
        <w:t>may amount to</w:t>
      </w:r>
      <w:r w:rsidR="001F06FF" w:rsidRPr="00774831">
        <w:t xml:space="preserve"> situations of danger, in view of the results </w:t>
      </w:r>
      <w:r w:rsidR="00EE694B" w:rsidRPr="00774831">
        <w:t xml:space="preserve">of the Multiple Indicator Cluster Survey (MICS 2006) which </w:t>
      </w:r>
      <w:r w:rsidR="00CF255D" w:rsidRPr="00774831">
        <w:t>indicate</w:t>
      </w:r>
      <w:r w:rsidR="00EE694B" w:rsidRPr="00774831">
        <w:t>d</w:t>
      </w:r>
      <w:r w:rsidR="001F06FF" w:rsidRPr="00774831">
        <w:t xml:space="preserve"> that 94</w:t>
      </w:r>
      <w:r w:rsidR="00CF255D" w:rsidRPr="00774831">
        <w:t xml:space="preserve"> per cent</w:t>
      </w:r>
      <w:r w:rsidR="001F06FF" w:rsidRPr="00774831">
        <w:t xml:space="preserve"> of children aged </w:t>
      </w:r>
      <w:r w:rsidR="00913571" w:rsidRPr="00774831">
        <w:t xml:space="preserve">between </w:t>
      </w:r>
      <w:r w:rsidR="001F06FF" w:rsidRPr="00774831">
        <w:t xml:space="preserve">2 </w:t>
      </w:r>
      <w:r w:rsidR="003F201B" w:rsidRPr="00774831">
        <w:t>and</w:t>
      </w:r>
      <w:r w:rsidR="001F06FF" w:rsidRPr="00774831">
        <w:t xml:space="preserve"> 14 years are </w:t>
      </w:r>
      <w:r w:rsidR="006D13D7" w:rsidRPr="00774831">
        <w:t>disciplined in the home through violent means, whether verbal, physical, or through deprivation.</w:t>
      </w:r>
    </w:p>
    <w:p w:rsidR="001F06FF" w:rsidRPr="00774831" w:rsidRDefault="00774831" w:rsidP="00D16FA4">
      <w:pPr>
        <w:pStyle w:val="SingleTxtG"/>
      </w:pPr>
      <w:r w:rsidRPr="00774831">
        <w:t>17.</w:t>
      </w:r>
      <w:r w:rsidRPr="00774831">
        <w:tab/>
      </w:r>
      <w:r w:rsidR="001F06FF" w:rsidRPr="00D16FA4">
        <w:rPr>
          <w:b/>
        </w:rPr>
        <w:t>The Committee recommends that the State party:</w:t>
      </w:r>
      <w:r w:rsidR="001F06FF" w:rsidRPr="00774831">
        <w:t xml:space="preserve"> </w:t>
      </w:r>
    </w:p>
    <w:p w:rsidR="001F06FF" w:rsidRPr="00774831" w:rsidRDefault="001F06FF" w:rsidP="00CF255D">
      <w:pPr>
        <w:pStyle w:val="SingleTxtG"/>
        <w:ind w:left="1200" w:firstLine="600"/>
        <w:rPr>
          <w:bCs/>
        </w:rPr>
      </w:pPr>
      <w:r w:rsidRPr="00774831">
        <w:rPr>
          <w:b/>
          <w:bCs/>
        </w:rPr>
        <w:t>(a)</w:t>
      </w:r>
      <w:r w:rsidRPr="00774831">
        <w:rPr>
          <w:b/>
          <w:bCs/>
        </w:rPr>
        <w:tab/>
        <w:t xml:space="preserve">Evaluate the phenomenon of violence against </w:t>
      </w:r>
      <w:r w:rsidR="006D13D7" w:rsidRPr="00774831">
        <w:rPr>
          <w:b/>
          <w:bCs/>
        </w:rPr>
        <w:t>boys and girls</w:t>
      </w:r>
      <w:r w:rsidRPr="00774831">
        <w:rPr>
          <w:b/>
          <w:bCs/>
        </w:rPr>
        <w:t xml:space="preserve"> with disabilities</w:t>
      </w:r>
      <w:r w:rsidR="00CF255D" w:rsidRPr="00774831">
        <w:rPr>
          <w:b/>
          <w:bCs/>
        </w:rPr>
        <w:t>,</w:t>
      </w:r>
      <w:r w:rsidRPr="00774831">
        <w:rPr>
          <w:b/>
          <w:bCs/>
        </w:rPr>
        <w:t xml:space="preserve"> and compile systematic disaggregated data (see </w:t>
      </w:r>
      <w:r w:rsidR="006D13D7" w:rsidRPr="00774831">
        <w:rPr>
          <w:b/>
          <w:bCs/>
        </w:rPr>
        <w:t>paragraph 39</w:t>
      </w:r>
      <w:r w:rsidR="00CF255D" w:rsidRPr="00774831">
        <w:rPr>
          <w:b/>
          <w:bCs/>
        </w:rPr>
        <w:t xml:space="preserve"> below</w:t>
      </w:r>
      <w:r w:rsidRPr="00774831">
        <w:rPr>
          <w:b/>
          <w:bCs/>
        </w:rPr>
        <w:t>) with a view to better combating it</w:t>
      </w:r>
      <w:r w:rsidRPr="00774831">
        <w:rPr>
          <w:bCs/>
        </w:rPr>
        <w:t>;</w:t>
      </w:r>
    </w:p>
    <w:p w:rsidR="001F06FF" w:rsidRPr="00774831" w:rsidRDefault="001F06FF" w:rsidP="00CF255D">
      <w:pPr>
        <w:pStyle w:val="SingleTxtG"/>
        <w:ind w:left="1200" w:firstLine="600"/>
      </w:pPr>
      <w:r w:rsidRPr="00774831">
        <w:rPr>
          <w:b/>
        </w:rPr>
        <w:t>(b)</w:t>
      </w:r>
      <w:r w:rsidRPr="00774831">
        <w:rPr>
          <w:b/>
        </w:rPr>
        <w:tab/>
        <w:t xml:space="preserve">Ensure that institutions providing care for children with disabilities are staffed with specially trained personnel, subject to appropriate standards, regularly monitored and evaluated, and </w:t>
      </w:r>
      <w:r w:rsidR="00CF255D" w:rsidRPr="00774831">
        <w:rPr>
          <w:b/>
        </w:rPr>
        <w:t>establish</w:t>
      </w:r>
      <w:r w:rsidR="006D13D7" w:rsidRPr="00774831">
        <w:rPr>
          <w:b/>
        </w:rPr>
        <w:t xml:space="preserve"> </w:t>
      </w:r>
      <w:r w:rsidRPr="00774831">
        <w:rPr>
          <w:b/>
        </w:rPr>
        <w:t xml:space="preserve">complaint </w:t>
      </w:r>
      <w:r w:rsidR="006D13D7" w:rsidRPr="00774831">
        <w:rPr>
          <w:b/>
        </w:rPr>
        <w:t>procedures</w:t>
      </w:r>
      <w:r w:rsidRPr="00774831">
        <w:rPr>
          <w:b/>
        </w:rPr>
        <w:t xml:space="preserve"> accessible to children with disabilities</w:t>
      </w:r>
      <w:r w:rsidR="006D13D7" w:rsidRPr="00774831">
        <w:rPr>
          <w:b/>
        </w:rPr>
        <w:t>;</w:t>
      </w:r>
    </w:p>
    <w:p w:rsidR="006D13D7" w:rsidRPr="00774831" w:rsidRDefault="006D13D7" w:rsidP="00CF255D">
      <w:pPr>
        <w:pStyle w:val="SingleTxtG"/>
        <w:ind w:left="1200" w:firstLine="600"/>
      </w:pPr>
      <w:r w:rsidRPr="00774831">
        <w:rPr>
          <w:b/>
        </w:rPr>
        <w:t>(c)</w:t>
      </w:r>
      <w:r w:rsidRPr="00774831">
        <w:rPr>
          <w:b/>
        </w:rPr>
        <w:tab/>
        <w:t>Establish independent follow-up mechanisms; and</w:t>
      </w:r>
    </w:p>
    <w:p w:rsidR="006D13D7" w:rsidRPr="00774831" w:rsidRDefault="006D13D7" w:rsidP="00CF255D">
      <w:pPr>
        <w:pStyle w:val="SingleTxtG"/>
        <w:ind w:left="1200" w:firstLine="600"/>
        <w:rPr>
          <w:b/>
        </w:rPr>
      </w:pPr>
      <w:r w:rsidRPr="00774831">
        <w:rPr>
          <w:b/>
        </w:rPr>
        <w:t xml:space="preserve">(d) </w:t>
      </w:r>
      <w:r w:rsidRPr="00774831">
        <w:rPr>
          <w:b/>
        </w:rPr>
        <w:tab/>
        <w:t>Take steps to replace institutional care for boys and girls with disabilities with community-based care.</w:t>
      </w:r>
    </w:p>
    <w:p w:rsidR="001035AF" w:rsidRPr="00774831" w:rsidRDefault="001F06FF" w:rsidP="00037704">
      <w:pPr>
        <w:pStyle w:val="H23G"/>
        <w:ind w:left="0" w:firstLine="0"/>
      </w:pPr>
      <w:r w:rsidRPr="00774831">
        <w:tab/>
      </w:r>
      <w:r w:rsidRPr="00774831">
        <w:tab/>
      </w:r>
      <w:r w:rsidR="001035AF" w:rsidRPr="00774831">
        <w:t>Awareness-raising (art. 8)</w:t>
      </w:r>
    </w:p>
    <w:p w:rsidR="001035AF" w:rsidRPr="00774831" w:rsidRDefault="00774831" w:rsidP="00D16FA4">
      <w:pPr>
        <w:pStyle w:val="SingleTxtG"/>
      </w:pPr>
      <w:r w:rsidRPr="00774831">
        <w:t>18.</w:t>
      </w:r>
      <w:r w:rsidRPr="00774831">
        <w:tab/>
      </w:r>
      <w:r w:rsidR="001035AF" w:rsidRPr="00774831">
        <w:t xml:space="preserve">The Committee notes the strategy of information, education and communication to raise awareness </w:t>
      </w:r>
      <w:r w:rsidR="00547DC3" w:rsidRPr="00774831">
        <w:t xml:space="preserve">on </w:t>
      </w:r>
      <w:r w:rsidR="001035AF" w:rsidRPr="00774831">
        <w:t>persons with disabilities</w:t>
      </w:r>
      <w:r w:rsidR="00D86C02" w:rsidRPr="00774831">
        <w:t xml:space="preserve">, including </w:t>
      </w:r>
      <w:r w:rsidR="00A63BD0" w:rsidRPr="00774831">
        <w:t xml:space="preserve">training for </w:t>
      </w:r>
      <w:r w:rsidR="00D86C02" w:rsidRPr="00774831">
        <w:t>judicial and education personnel</w:t>
      </w:r>
      <w:r w:rsidR="001035AF" w:rsidRPr="00774831">
        <w:t>. The Committee</w:t>
      </w:r>
      <w:r w:rsidR="006D13D7" w:rsidRPr="00774831">
        <w:t>,</w:t>
      </w:r>
      <w:r w:rsidR="00D86C02" w:rsidRPr="00774831">
        <w:t xml:space="preserve"> however</w:t>
      </w:r>
      <w:r w:rsidR="006D13D7" w:rsidRPr="00774831">
        <w:t>,</w:t>
      </w:r>
      <w:r w:rsidR="001035AF" w:rsidRPr="00774831">
        <w:t xml:space="preserve"> </w:t>
      </w:r>
      <w:r w:rsidR="006D13D7" w:rsidRPr="00774831">
        <w:t>regrets the lack of information about training provided to</w:t>
      </w:r>
      <w:r w:rsidR="001035AF" w:rsidRPr="00774831">
        <w:t xml:space="preserve"> </w:t>
      </w:r>
      <w:r w:rsidR="00D86C02" w:rsidRPr="00774831">
        <w:t xml:space="preserve">other </w:t>
      </w:r>
      <w:r w:rsidR="001035AF" w:rsidRPr="00774831">
        <w:t>public officials on the Convention</w:t>
      </w:r>
      <w:r w:rsidR="006D13D7" w:rsidRPr="00774831">
        <w:t>.</w:t>
      </w:r>
    </w:p>
    <w:p w:rsidR="001035AF" w:rsidRPr="00D16FA4" w:rsidRDefault="00774831" w:rsidP="00D16FA4">
      <w:pPr>
        <w:pStyle w:val="SingleTxtG"/>
      </w:pPr>
      <w:r w:rsidRPr="00774831">
        <w:t>19.</w:t>
      </w:r>
      <w:r w:rsidRPr="00774831">
        <w:tab/>
      </w:r>
      <w:r w:rsidR="001035AF" w:rsidRPr="00D16FA4">
        <w:rPr>
          <w:b/>
        </w:rPr>
        <w:t xml:space="preserve">The Committee encourages the State party to establish awareness-raising and training </w:t>
      </w:r>
      <w:r w:rsidR="00804F3E" w:rsidRPr="00D16FA4">
        <w:rPr>
          <w:b/>
        </w:rPr>
        <w:t xml:space="preserve">programmes </w:t>
      </w:r>
      <w:r w:rsidR="006D13D7" w:rsidRPr="00D16FA4">
        <w:rPr>
          <w:b/>
        </w:rPr>
        <w:t xml:space="preserve">that are in conformity with the principles of the Convention </w:t>
      </w:r>
      <w:r w:rsidR="001035AF" w:rsidRPr="00D16FA4">
        <w:rPr>
          <w:b/>
        </w:rPr>
        <w:t xml:space="preserve">for all officials involved in the promotion, protection or implementation of the rights of persons with disabilities, </w:t>
      </w:r>
      <w:r w:rsidR="006D13D7" w:rsidRPr="00D16FA4">
        <w:rPr>
          <w:b/>
        </w:rPr>
        <w:t>including</w:t>
      </w:r>
      <w:r w:rsidR="001035AF" w:rsidRPr="00D16FA4">
        <w:rPr>
          <w:b/>
        </w:rPr>
        <w:t xml:space="preserve"> officials at the local level dealing with persons with disabilities</w:t>
      </w:r>
      <w:r w:rsidR="00720AD1" w:rsidRPr="00D16FA4">
        <w:rPr>
          <w:b/>
        </w:rPr>
        <w:t>.</w:t>
      </w:r>
      <w:r w:rsidR="00720AD1" w:rsidRPr="00D16FA4">
        <w:t xml:space="preserve"> </w:t>
      </w:r>
    </w:p>
    <w:p w:rsidR="00B60CAA" w:rsidRPr="00774831" w:rsidRDefault="00B60CAA" w:rsidP="00B60CAA">
      <w:pPr>
        <w:pStyle w:val="H23G"/>
        <w:ind w:left="1100" w:firstLine="0"/>
      </w:pPr>
      <w:r w:rsidRPr="00774831">
        <w:t>Accessibility (art. 9)</w:t>
      </w:r>
    </w:p>
    <w:p w:rsidR="00BB69E0" w:rsidRPr="00774831" w:rsidRDefault="00774831" w:rsidP="00D16FA4">
      <w:pPr>
        <w:pStyle w:val="SingleTxtG"/>
      </w:pPr>
      <w:r w:rsidRPr="00774831">
        <w:t>20.</w:t>
      </w:r>
      <w:r w:rsidRPr="00774831">
        <w:tab/>
      </w:r>
      <w:r w:rsidR="001D3A62" w:rsidRPr="00774831">
        <w:t xml:space="preserve">The Committee takes note of the National Strategy on environmental management and the implementation of </w:t>
      </w:r>
      <w:r w:rsidR="00804F3E" w:rsidRPr="00774831">
        <w:t>the f</w:t>
      </w:r>
      <w:r w:rsidR="001D3A62" w:rsidRPr="00774831">
        <w:t xml:space="preserve">irst Action Plan </w:t>
      </w:r>
      <w:r w:rsidR="00804F3E" w:rsidRPr="00774831">
        <w:t>in this area</w:t>
      </w:r>
      <w:r w:rsidR="00584986" w:rsidRPr="00774831">
        <w:t>,</w:t>
      </w:r>
      <w:r w:rsidR="005D4C8E" w:rsidRPr="00774831">
        <w:t xml:space="preserve"> covering the period</w:t>
      </w:r>
      <w:r w:rsidR="00804F3E" w:rsidRPr="00774831">
        <w:t xml:space="preserve"> </w:t>
      </w:r>
      <w:r w:rsidR="001D3A62" w:rsidRPr="00774831">
        <w:t xml:space="preserve">2008-2010. However, it remains concerned that gaps continue to impede full accessibility </w:t>
      </w:r>
      <w:r w:rsidR="00BB69E0" w:rsidRPr="00774831">
        <w:t>for persons with disabilities, on a</w:t>
      </w:r>
      <w:r w:rsidR="00804F3E" w:rsidRPr="00774831">
        <w:t>n</w:t>
      </w:r>
      <w:r w:rsidR="00BB69E0" w:rsidRPr="00774831">
        <w:t xml:space="preserve"> equal basis with others, </w:t>
      </w:r>
      <w:r w:rsidR="001D3A62" w:rsidRPr="00774831">
        <w:t xml:space="preserve">to </w:t>
      </w:r>
      <w:r w:rsidR="00BB69E0" w:rsidRPr="00774831">
        <w:t xml:space="preserve">all facilities and services open or provided to the </w:t>
      </w:r>
      <w:r w:rsidR="005017B4" w:rsidRPr="00774831">
        <w:t>public</w:t>
      </w:r>
      <w:r w:rsidR="003D691D" w:rsidRPr="00774831">
        <w:t xml:space="preserve">, including access to </w:t>
      </w:r>
      <w:r w:rsidR="001E7ED0" w:rsidRPr="00774831">
        <w:t>information</w:t>
      </w:r>
      <w:r w:rsidR="00584986" w:rsidRPr="00774831">
        <w:t>,</w:t>
      </w:r>
      <w:r w:rsidR="001E7ED0" w:rsidRPr="00774831">
        <w:t xml:space="preserve"> </w:t>
      </w:r>
      <w:r w:rsidR="005D4C8E" w:rsidRPr="00774831">
        <w:t>communication</w:t>
      </w:r>
      <w:r w:rsidR="003F201B" w:rsidRPr="00774831">
        <w:t>s</w:t>
      </w:r>
      <w:r w:rsidR="005D4C8E" w:rsidRPr="00774831">
        <w:t xml:space="preserve"> </w:t>
      </w:r>
      <w:r w:rsidR="001E7ED0" w:rsidRPr="00774831">
        <w:t>and transport.</w:t>
      </w:r>
      <w:r w:rsidR="005017B4" w:rsidRPr="00774831">
        <w:t xml:space="preserve"> </w:t>
      </w:r>
    </w:p>
    <w:p w:rsidR="001D3A62" w:rsidRPr="00774831" w:rsidRDefault="00774831" w:rsidP="00D16FA4">
      <w:pPr>
        <w:pStyle w:val="SingleTxtG"/>
      </w:pPr>
      <w:r w:rsidRPr="00774831">
        <w:t>21.</w:t>
      </w:r>
      <w:r w:rsidRPr="00774831">
        <w:tab/>
      </w:r>
      <w:r w:rsidR="001D3A62" w:rsidRPr="00D16FA4">
        <w:rPr>
          <w:b/>
        </w:rPr>
        <w:t>The Committee r</w:t>
      </w:r>
      <w:r w:rsidR="0019496F" w:rsidRPr="00D16FA4">
        <w:rPr>
          <w:b/>
        </w:rPr>
        <w:t>ecommends that the State party, in close consultation with persons with disabilities and their representative organi</w:t>
      </w:r>
      <w:r w:rsidR="00584986" w:rsidRPr="00D16FA4">
        <w:rPr>
          <w:b/>
        </w:rPr>
        <w:t>z</w:t>
      </w:r>
      <w:r w:rsidR="0019496F" w:rsidRPr="00D16FA4">
        <w:rPr>
          <w:b/>
        </w:rPr>
        <w:t xml:space="preserve">ations, undertake a comprehensive review of the implementation of laws on accessibility </w:t>
      </w:r>
      <w:r w:rsidR="00584986" w:rsidRPr="00D16FA4">
        <w:rPr>
          <w:b/>
        </w:rPr>
        <w:t xml:space="preserve">in order </w:t>
      </w:r>
      <w:r w:rsidR="0019496F" w:rsidRPr="00D16FA4">
        <w:rPr>
          <w:b/>
        </w:rPr>
        <w:t>to identify</w:t>
      </w:r>
      <w:r w:rsidR="005D4C8E" w:rsidRPr="00D16FA4">
        <w:rPr>
          <w:b/>
        </w:rPr>
        <w:t>, monitor</w:t>
      </w:r>
      <w:r w:rsidR="0019496F" w:rsidRPr="00D16FA4">
        <w:rPr>
          <w:b/>
        </w:rPr>
        <w:t xml:space="preserve"> and address those gaps.</w:t>
      </w:r>
      <w:r w:rsidR="00EB159C" w:rsidRPr="00D16FA4">
        <w:rPr>
          <w:b/>
        </w:rPr>
        <w:t xml:space="preserve"> It recommends t</w:t>
      </w:r>
      <w:r w:rsidR="005C5DA8" w:rsidRPr="00D16FA4">
        <w:rPr>
          <w:b/>
        </w:rPr>
        <w:t>hat</w:t>
      </w:r>
      <w:r w:rsidR="00EB159C" w:rsidRPr="00D16FA4">
        <w:rPr>
          <w:b/>
        </w:rPr>
        <w:t xml:space="preserve"> </w:t>
      </w:r>
      <w:r w:rsidR="005D4C8E" w:rsidRPr="00D16FA4">
        <w:rPr>
          <w:b/>
        </w:rPr>
        <w:t xml:space="preserve">awareness-raising programmes be conducted for the relevant professional groups and all stakeholders. It further recommends that </w:t>
      </w:r>
      <w:r w:rsidR="00EB159C" w:rsidRPr="00D16FA4">
        <w:rPr>
          <w:b/>
        </w:rPr>
        <w:t xml:space="preserve">sufficient financial and human resources </w:t>
      </w:r>
      <w:r w:rsidR="005C5DA8" w:rsidRPr="00D16FA4">
        <w:rPr>
          <w:b/>
        </w:rPr>
        <w:t xml:space="preserve">be allocated </w:t>
      </w:r>
      <w:r w:rsidR="005D4C8E" w:rsidRPr="00D16FA4">
        <w:rPr>
          <w:b/>
        </w:rPr>
        <w:t xml:space="preserve">as soon as possible </w:t>
      </w:r>
      <w:r w:rsidR="00EB159C" w:rsidRPr="00D16FA4">
        <w:rPr>
          <w:b/>
        </w:rPr>
        <w:t xml:space="preserve">to implement the </w:t>
      </w:r>
      <w:r w:rsidR="005D4C8E" w:rsidRPr="00D16FA4">
        <w:rPr>
          <w:b/>
        </w:rPr>
        <w:t>n</w:t>
      </w:r>
      <w:r w:rsidR="00EB159C" w:rsidRPr="00D16FA4">
        <w:rPr>
          <w:b/>
        </w:rPr>
        <w:t>ational plan on accessibility</w:t>
      </w:r>
      <w:r w:rsidR="005D4C8E" w:rsidRPr="00D16FA4">
        <w:rPr>
          <w:b/>
        </w:rPr>
        <w:t xml:space="preserve"> for existing and future infrastructure.</w:t>
      </w:r>
    </w:p>
    <w:p w:rsidR="00AC0B46" w:rsidRPr="00774831" w:rsidRDefault="00AC0B46" w:rsidP="00AC0B46">
      <w:pPr>
        <w:pStyle w:val="H23G"/>
        <w:ind w:left="1100" w:firstLine="0"/>
      </w:pPr>
      <w:r w:rsidRPr="00774831">
        <w:t xml:space="preserve">Equal recognition before the law (art. </w:t>
      </w:r>
      <w:r w:rsidR="00811F83" w:rsidRPr="00774831">
        <w:t>12</w:t>
      </w:r>
      <w:r w:rsidRPr="00774831">
        <w:t>)</w:t>
      </w:r>
    </w:p>
    <w:p w:rsidR="00AC0B46" w:rsidRPr="00774831" w:rsidRDefault="00774831" w:rsidP="00D16FA4">
      <w:pPr>
        <w:pStyle w:val="SingleTxtG"/>
      </w:pPr>
      <w:r w:rsidRPr="00774831">
        <w:t>22.</w:t>
      </w:r>
      <w:r w:rsidRPr="00774831">
        <w:tab/>
      </w:r>
      <w:r w:rsidR="003A2AB4" w:rsidRPr="00774831">
        <w:t>The Committee</w:t>
      </w:r>
      <w:r w:rsidR="00E57908" w:rsidRPr="00774831">
        <w:t xml:space="preserve"> </w:t>
      </w:r>
      <w:r w:rsidR="00AC3820" w:rsidRPr="00774831">
        <w:t>is concerned that</w:t>
      </w:r>
      <w:r w:rsidR="00395476" w:rsidRPr="00774831">
        <w:t xml:space="preserve"> no measures </w:t>
      </w:r>
      <w:r w:rsidR="005C5DA8" w:rsidRPr="00774831">
        <w:t xml:space="preserve">have been </w:t>
      </w:r>
      <w:r w:rsidR="00395476" w:rsidRPr="00774831">
        <w:t>undertaken to replace substitute decision-making by supported decision-making in the exercise of legal capacity.</w:t>
      </w:r>
    </w:p>
    <w:p w:rsidR="003A2AB4" w:rsidRPr="00774831" w:rsidRDefault="003A2AB4" w:rsidP="003A2AB4">
      <w:pPr>
        <w:ind w:left="1100" w:right="1139"/>
        <w:jc w:val="both"/>
      </w:pPr>
    </w:p>
    <w:p w:rsidR="003A2AB4" w:rsidRPr="00774831" w:rsidRDefault="00774831" w:rsidP="00D16FA4">
      <w:pPr>
        <w:pStyle w:val="SingleTxtG"/>
      </w:pPr>
      <w:r w:rsidRPr="00774831">
        <w:t>23.</w:t>
      </w:r>
      <w:r w:rsidRPr="00774831">
        <w:tab/>
      </w:r>
      <w:r w:rsidR="00FC7C94" w:rsidRPr="00D16FA4">
        <w:rPr>
          <w:b/>
        </w:rPr>
        <w:t xml:space="preserve">The Committee recommends that the State party </w:t>
      </w:r>
      <w:r w:rsidR="00127649" w:rsidRPr="00D16FA4">
        <w:rPr>
          <w:b/>
        </w:rPr>
        <w:t>review the</w:t>
      </w:r>
      <w:r w:rsidR="00FC7C94" w:rsidRPr="00D16FA4">
        <w:rPr>
          <w:b/>
        </w:rPr>
        <w:t xml:space="preserve"> laws allowing for </w:t>
      </w:r>
      <w:r w:rsidR="00FC7C94" w:rsidRPr="00D16FA4">
        <w:rPr>
          <w:b/>
          <w:bCs/>
        </w:rPr>
        <w:t xml:space="preserve">guardianship </w:t>
      </w:r>
      <w:r w:rsidR="00FC7C94" w:rsidRPr="00D16FA4">
        <w:rPr>
          <w:b/>
        </w:rPr>
        <w:t>and trusteeship</w:t>
      </w:r>
      <w:r w:rsidR="00584986" w:rsidRPr="00D16FA4">
        <w:rPr>
          <w:b/>
        </w:rPr>
        <w:t>,</w:t>
      </w:r>
      <w:r w:rsidR="00FC7C94" w:rsidRPr="00D16FA4">
        <w:rPr>
          <w:b/>
        </w:rPr>
        <w:t xml:space="preserve"> and take </w:t>
      </w:r>
      <w:r w:rsidR="00584986" w:rsidRPr="00D16FA4">
        <w:rPr>
          <w:b/>
        </w:rPr>
        <w:t xml:space="preserve">action to develop </w:t>
      </w:r>
      <w:r w:rsidR="00127649" w:rsidRPr="00D16FA4">
        <w:rPr>
          <w:b/>
        </w:rPr>
        <w:t>l</w:t>
      </w:r>
      <w:r w:rsidR="00584986" w:rsidRPr="00D16FA4">
        <w:rPr>
          <w:b/>
        </w:rPr>
        <w:t xml:space="preserve">aws </w:t>
      </w:r>
      <w:r w:rsidR="00127649" w:rsidRPr="00D16FA4">
        <w:rPr>
          <w:b/>
        </w:rPr>
        <w:t>and polic</w:t>
      </w:r>
      <w:r w:rsidR="00584986" w:rsidRPr="00D16FA4">
        <w:rPr>
          <w:b/>
        </w:rPr>
        <w:t>ies</w:t>
      </w:r>
      <w:r w:rsidR="00FC7C94" w:rsidRPr="00D16FA4">
        <w:rPr>
          <w:b/>
        </w:rPr>
        <w:t xml:space="preserve"> to replace regimes of substitute decision-making by supported decision-making</w:t>
      </w:r>
      <w:r w:rsidR="00127649" w:rsidRPr="00D16FA4">
        <w:rPr>
          <w:b/>
        </w:rPr>
        <w:t>. It further recommends that training be provided on this issue to all relevant</w:t>
      </w:r>
      <w:r w:rsidR="0090434C" w:rsidRPr="00D16FA4">
        <w:rPr>
          <w:b/>
        </w:rPr>
        <w:t xml:space="preserve"> public officials</w:t>
      </w:r>
      <w:r w:rsidR="00127649" w:rsidRPr="00D16FA4">
        <w:rPr>
          <w:b/>
        </w:rPr>
        <w:t xml:space="preserve"> and other stakeholders.</w:t>
      </w:r>
    </w:p>
    <w:p w:rsidR="00BC3D66" w:rsidRPr="00774831" w:rsidRDefault="006A2231" w:rsidP="00FD0992">
      <w:pPr>
        <w:pStyle w:val="H23G"/>
        <w:ind w:left="1100" w:firstLine="0"/>
      </w:pPr>
      <w:smartTag w:uri="urn:schemas-microsoft-com:office:smarttags" w:element="place">
        <w:smartTag w:uri="urn:schemas-microsoft-com:office:smarttags" w:element="City">
          <w:r w:rsidRPr="00774831">
            <w:t>Liberty</w:t>
          </w:r>
        </w:smartTag>
      </w:smartTag>
      <w:r w:rsidRPr="00774831">
        <w:t xml:space="preserve"> and security of the person (art. 14)</w:t>
      </w:r>
    </w:p>
    <w:p w:rsidR="00FD0992" w:rsidRPr="00774831" w:rsidRDefault="00774831" w:rsidP="00D16FA4">
      <w:pPr>
        <w:pStyle w:val="SingleTxtG"/>
      </w:pPr>
      <w:r w:rsidRPr="00774831">
        <w:t>24.</w:t>
      </w:r>
      <w:r w:rsidRPr="00774831">
        <w:tab/>
      </w:r>
      <w:r w:rsidR="00FD0992" w:rsidRPr="00D16FA4">
        <w:t xml:space="preserve">With reference to article 14 of the Convention, the Committee is concerned that having a disability, including </w:t>
      </w:r>
      <w:r w:rsidR="00DF2F48" w:rsidRPr="00D16FA4">
        <w:t xml:space="preserve">an </w:t>
      </w:r>
      <w:r w:rsidR="00FD0992" w:rsidRPr="00D16FA4">
        <w:t xml:space="preserve">intellectual </w:t>
      </w:r>
      <w:r w:rsidR="00DF2F48" w:rsidRPr="00D16FA4">
        <w:t xml:space="preserve">or </w:t>
      </w:r>
      <w:r w:rsidR="00FD0992" w:rsidRPr="00D16FA4">
        <w:t xml:space="preserve">psychosocial </w:t>
      </w:r>
      <w:r w:rsidR="00DF2F48" w:rsidRPr="00D16FA4">
        <w:t>disability</w:t>
      </w:r>
      <w:r w:rsidR="00FD0992" w:rsidRPr="00D16FA4">
        <w:t xml:space="preserve">, </w:t>
      </w:r>
      <w:r w:rsidR="008B25F9" w:rsidRPr="00D16FA4">
        <w:t xml:space="preserve">can </w:t>
      </w:r>
      <w:r w:rsidR="00FD0992" w:rsidRPr="00D16FA4">
        <w:t>constitute a basis for the deprivation of liberty under current legislation</w:t>
      </w:r>
      <w:r w:rsidR="00DF2F48" w:rsidRPr="00D16FA4">
        <w:t>.</w:t>
      </w:r>
    </w:p>
    <w:p w:rsidR="00FD0992" w:rsidRPr="00774831" w:rsidRDefault="00774831" w:rsidP="00D16FA4">
      <w:pPr>
        <w:pStyle w:val="SingleTxtG"/>
      </w:pPr>
      <w:r w:rsidRPr="00774831">
        <w:t>25.</w:t>
      </w:r>
      <w:r w:rsidRPr="00774831">
        <w:tab/>
      </w:r>
      <w:r w:rsidR="00FD0992" w:rsidRPr="00D16FA4">
        <w:rPr>
          <w:b/>
        </w:rPr>
        <w:t xml:space="preserve">The Committee recommends that the State party </w:t>
      </w:r>
      <w:r w:rsidR="00BC7ABB" w:rsidRPr="00D16FA4">
        <w:rPr>
          <w:b/>
        </w:rPr>
        <w:t xml:space="preserve">repeal legislative provisions which allow for the deprivation of liberty on the basis of disability, including </w:t>
      </w:r>
      <w:r w:rsidR="00DF2F48" w:rsidRPr="00D16FA4">
        <w:rPr>
          <w:b/>
        </w:rPr>
        <w:t xml:space="preserve">a </w:t>
      </w:r>
      <w:r w:rsidR="00BC7ABB" w:rsidRPr="00D16FA4">
        <w:rPr>
          <w:b/>
        </w:rPr>
        <w:t xml:space="preserve">psychosocial or intellectual </w:t>
      </w:r>
      <w:r w:rsidR="00DF2F48" w:rsidRPr="00D16FA4">
        <w:rPr>
          <w:b/>
        </w:rPr>
        <w:t>disability</w:t>
      </w:r>
      <w:r w:rsidR="00584986" w:rsidRPr="00D16FA4">
        <w:rPr>
          <w:b/>
        </w:rPr>
        <w:t>.</w:t>
      </w:r>
      <w:r w:rsidR="00DF2F48" w:rsidRPr="00D16FA4">
        <w:rPr>
          <w:b/>
        </w:rPr>
        <w:t xml:space="preserve"> The Committee further recommends that until new legislation is in place, all cases of persons with disabilities who are deprived of their liberty in hospitals and specialized institutions be reviewed</w:t>
      </w:r>
      <w:r w:rsidR="00584986" w:rsidRPr="00D16FA4">
        <w:rPr>
          <w:b/>
        </w:rPr>
        <w:t>,</w:t>
      </w:r>
      <w:r w:rsidR="00DF2F48" w:rsidRPr="00D16FA4">
        <w:rPr>
          <w:b/>
        </w:rPr>
        <w:t xml:space="preserve"> and that the review include </w:t>
      </w:r>
      <w:r w:rsidR="00584986" w:rsidRPr="00D16FA4">
        <w:rPr>
          <w:b/>
        </w:rPr>
        <w:t>the</w:t>
      </w:r>
      <w:r w:rsidR="00DF2F48" w:rsidRPr="00D16FA4">
        <w:rPr>
          <w:b/>
        </w:rPr>
        <w:t xml:space="preserve"> possibility of appeal.</w:t>
      </w:r>
    </w:p>
    <w:p w:rsidR="00DF2F48" w:rsidRPr="00774831" w:rsidRDefault="00DF2F48" w:rsidP="00DF2F48">
      <w:pPr>
        <w:pStyle w:val="H23G"/>
        <w:ind w:left="1100" w:firstLine="0"/>
      </w:pPr>
      <w:r w:rsidRPr="00774831">
        <w:t>Freedom from exploitation, violence and abuse (art.</w:t>
      </w:r>
      <w:r w:rsidR="00FA34C1" w:rsidRPr="00774831">
        <w:t xml:space="preserve"> </w:t>
      </w:r>
      <w:r w:rsidRPr="00774831">
        <w:t>16)</w:t>
      </w:r>
    </w:p>
    <w:p w:rsidR="00DF2F48" w:rsidRPr="00774831" w:rsidRDefault="00774831" w:rsidP="00696374">
      <w:pPr>
        <w:pStyle w:val="SingleTxtG"/>
      </w:pPr>
      <w:r w:rsidRPr="00774831">
        <w:t>26.</w:t>
      </w:r>
      <w:r w:rsidRPr="00774831">
        <w:tab/>
      </w:r>
      <w:r w:rsidR="00DF2F48" w:rsidRPr="00696374">
        <w:t xml:space="preserve">The Committee expresses concern </w:t>
      </w:r>
      <w:r w:rsidR="00584986" w:rsidRPr="00696374">
        <w:t>at</w:t>
      </w:r>
      <w:r w:rsidR="00DF2F48" w:rsidRPr="00696374">
        <w:t xml:space="preserve"> the situation of violence that women and children with disabilities might face.</w:t>
      </w:r>
      <w:r w:rsidR="00DF2F48" w:rsidRPr="00774831">
        <w:t xml:space="preserve"> </w:t>
      </w:r>
    </w:p>
    <w:p w:rsidR="00DF2F48" w:rsidRPr="00774831" w:rsidRDefault="00774831" w:rsidP="00D16FA4">
      <w:pPr>
        <w:pStyle w:val="SingleTxtG"/>
      </w:pPr>
      <w:r w:rsidRPr="00774831">
        <w:t>27.</w:t>
      </w:r>
      <w:r w:rsidRPr="00774831">
        <w:tab/>
      </w:r>
      <w:r w:rsidR="00DF2F48" w:rsidRPr="00774831">
        <w:t xml:space="preserve"> </w:t>
      </w:r>
      <w:r w:rsidR="00DF2F48" w:rsidRPr="00D16FA4">
        <w:rPr>
          <w:b/>
        </w:rPr>
        <w:t xml:space="preserve">The Committee encourages the </w:t>
      </w:r>
      <w:r w:rsidR="00584986" w:rsidRPr="00D16FA4">
        <w:rPr>
          <w:b/>
        </w:rPr>
        <w:t>S</w:t>
      </w:r>
      <w:r w:rsidR="00DF2F48" w:rsidRPr="00D16FA4">
        <w:rPr>
          <w:b/>
        </w:rPr>
        <w:t xml:space="preserve">tate party to include women and girls with disabilities in the National </w:t>
      </w:r>
      <w:r w:rsidR="00584986" w:rsidRPr="00D16FA4">
        <w:rPr>
          <w:b/>
        </w:rPr>
        <w:t>S</w:t>
      </w:r>
      <w:r w:rsidR="00DF2F48" w:rsidRPr="00D16FA4">
        <w:rPr>
          <w:b/>
        </w:rPr>
        <w:t xml:space="preserve">trategy for the prevention of violence in the family and society, and to adopt comprehensive measures for them to have access to immediate protection, shelter and legal aid. It requests the State party to </w:t>
      </w:r>
      <w:r w:rsidR="00FA34C1" w:rsidRPr="00D16FA4">
        <w:rPr>
          <w:b/>
        </w:rPr>
        <w:t>conduct</w:t>
      </w:r>
      <w:r w:rsidR="00DF2F48" w:rsidRPr="00D16FA4">
        <w:rPr>
          <w:b/>
        </w:rPr>
        <w:t xml:space="preserve"> awareness campaigns and develop educational programmes on the greater vulnerability of women and girls with disabilities with respect to violence and abuse.</w:t>
      </w:r>
    </w:p>
    <w:p w:rsidR="007E1270" w:rsidRPr="00774831" w:rsidRDefault="006B1856" w:rsidP="00D1198D">
      <w:pPr>
        <w:pStyle w:val="H23G"/>
        <w:ind w:left="1100" w:firstLine="0"/>
      </w:pPr>
      <w:r w:rsidRPr="00774831">
        <w:t>I</w:t>
      </w:r>
      <w:r w:rsidR="007E1270" w:rsidRPr="00774831">
        <w:t>ntegrity of the person (art.</w:t>
      </w:r>
      <w:r w:rsidR="00FA34C1" w:rsidRPr="00774831">
        <w:t xml:space="preserve"> </w:t>
      </w:r>
      <w:r w:rsidR="007E1270" w:rsidRPr="00774831">
        <w:t>17)</w:t>
      </w:r>
    </w:p>
    <w:p w:rsidR="000E4405" w:rsidRPr="00774831" w:rsidRDefault="00774831" w:rsidP="00D16FA4">
      <w:pPr>
        <w:pStyle w:val="SingleTxtG"/>
      </w:pPr>
      <w:r w:rsidRPr="00774831">
        <w:t>28.</w:t>
      </w:r>
      <w:r w:rsidRPr="00774831">
        <w:tab/>
      </w:r>
      <w:r w:rsidR="000E4405" w:rsidRPr="00774831">
        <w:t xml:space="preserve">The Committee is concerned </w:t>
      </w:r>
      <w:r w:rsidR="00860077" w:rsidRPr="00774831">
        <w:t>about the lack of clarity concerning the scope</w:t>
      </w:r>
      <w:r w:rsidR="003F201B" w:rsidRPr="00774831">
        <w:t xml:space="preserve"> of</w:t>
      </w:r>
      <w:r w:rsidR="000E4405" w:rsidRPr="00774831">
        <w:t xml:space="preserve"> legislation to protect persons with disabilities from being subjected to treatment without their free and informed consent, including forced treatment in mental health services.</w:t>
      </w:r>
    </w:p>
    <w:p w:rsidR="000E4405" w:rsidRPr="00774831" w:rsidRDefault="00774831" w:rsidP="00D16FA4">
      <w:pPr>
        <w:pStyle w:val="SingleTxtG"/>
      </w:pPr>
      <w:r w:rsidRPr="00774831">
        <w:t>29.</w:t>
      </w:r>
      <w:r w:rsidRPr="00774831">
        <w:tab/>
      </w:r>
      <w:r w:rsidR="000E4405" w:rsidRPr="00D16FA4">
        <w:rPr>
          <w:b/>
        </w:rPr>
        <w:t xml:space="preserve">The Committee recommends that the State party </w:t>
      </w:r>
      <w:r w:rsidR="00B3155C" w:rsidRPr="00D16FA4">
        <w:rPr>
          <w:b/>
        </w:rPr>
        <w:t>incorporate into th</w:t>
      </w:r>
      <w:r w:rsidR="005A74CE" w:rsidRPr="00D16FA4">
        <w:rPr>
          <w:b/>
        </w:rPr>
        <w:t>e</w:t>
      </w:r>
      <w:r w:rsidR="00B3155C" w:rsidRPr="00D16FA4">
        <w:rPr>
          <w:b/>
        </w:rPr>
        <w:t xml:space="preserve"> </w:t>
      </w:r>
      <w:r w:rsidR="005A74CE" w:rsidRPr="00D16FA4">
        <w:rPr>
          <w:b/>
        </w:rPr>
        <w:t xml:space="preserve">law the abolition of </w:t>
      </w:r>
      <w:r w:rsidR="00860077" w:rsidRPr="00D16FA4">
        <w:rPr>
          <w:b/>
        </w:rPr>
        <w:t xml:space="preserve">surgery and </w:t>
      </w:r>
      <w:r w:rsidR="005A74CE" w:rsidRPr="00D16FA4">
        <w:rPr>
          <w:b/>
        </w:rPr>
        <w:t xml:space="preserve">treatment without </w:t>
      </w:r>
      <w:r w:rsidR="003F201B" w:rsidRPr="00D16FA4">
        <w:rPr>
          <w:b/>
        </w:rPr>
        <w:t xml:space="preserve">the </w:t>
      </w:r>
      <w:r w:rsidR="005A74CE" w:rsidRPr="00D16FA4">
        <w:rPr>
          <w:b/>
        </w:rPr>
        <w:t>full and informed consent</w:t>
      </w:r>
      <w:r w:rsidR="00860077" w:rsidRPr="00D16FA4">
        <w:rPr>
          <w:b/>
        </w:rPr>
        <w:t xml:space="preserve"> of the patient</w:t>
      </w:r>
      <w:r w:rsidR="005A74CE" w:rsidRPr="00D16FA4">
        <w:rPr>
          <w:b/>
        </w:rPr>
        <w:t xml:space="preserve">, </w:t>
      </w:r>
      <w:r w:rsidR="00860077" w:rsidRPr="00D16FA4">
        <w:rPr>
          <w:b/>
        </w:rPr>
        <w:t>and ensure that national law especiall</w:t>
      </w:r>
      <w:r w:rsidR="003F201B" w:rsidRPr="00D16FA4">
        <w:rPr>
          <w:b/>
        </w:rPr>
        <w:t xml:space="preserve">y </w:t>
      </w:r>
      <w:r w:rsidR="00FA34C1" w:rsidRPr="00D16FA4">
        <w:rPr>
          <w:b/>
        </w:rPr>
        <w:t xml:space="preserve">respects </w:t>
      </w:r>
      <w:r w:rsidR="003F201B" w:rsidRPr="00D16FA4">
        <w:rPr>
          <w:b/>
        </w:rPr>
        <w:t>women’s rights under ar</w:t>
      </w:r>
      <w:r w:rsidR="00860077" w:rsidRPr="00D16FA4">
        <w:rPr>
          <w:b/>
        </w:rPr>
        <w:t>ticle 23 and 25 of the Convention.</w:t>
      </w:r>
    </w:p>
    <w:p w:rsidR="00D1198D" w:rsidRPr="00774831" w:rsidRDefault="00E03243" w:rsidP="00E03243">
      <w:pPr>
        <w:pStyle w:val="H23G"/>
        <w:ind w:left="0" w:firstLine="0"/>
      </w:pPr>
      <w:r w:rsidRPr="00774831">
        <w:tab/>
      </w:r>
      <w:r w:rsidRPr="00774831">
        <w:tab/>
      </w:r>
      <w:r w:rsidR="00D1198D" w:rsidRPr="00774831">
        <w:t>Education (art.</w:t>
      </w:r>
      <w:r w:rsidR="00FA34C1" w:rsidRPr="00774831">
        <w:t xml:space="preserve"> </w:t>
      </w:r>
      <w:r w:rsidR="00D1198D" w:rsidRPr="00774831">
        <w:t>24)</w:t>
      </w:r>
    </w:p>
    <w:p w:rsidR="00D1198D" w:rsidRPr="00774831" w:rsidRDefault="00774831" w:rsidP="00D16FA4">
      <w:pPr>
        <w:pStyle w:val="SingleTxtG"/>
      </w:pPr>
      <w:r w:rsidRPr="00774831">
        <w:t>30.</w:t>
      </w:r>
      <w:r w:rsidRPr="00774831">
        <w:tab/>
      </w:r>
      <w:r w:rsidR="00D1198D" w:rsidRPr="00774831">
        <w:t xml:space="preserve">The Committee takes note of the national programme of inclusive education </w:t>
      </w:r>
      <w:r w:rsidR="00FA34C1" w:rsidRPr="00774831">
        <w:t>for</w:t>
      </w:r>
      <w:r w:rsidR="00D1198D" w:rsidRPr="00774831">
        <w:t xml:space="preserve"> children with disabilities. However, it notes with deep concern that</w:t>
      </w:r>
      <w:r w:rsidR="00860077" w:rsidRPr="00774831">
        <w:t>,</w:t>
      </w:r>
      <w:r w:rsidR="00D1198D" w:rsidRPr="00774831">
        <w:t xml:space="preserve"> in practice, the </w:t>
      </w:r>
      <w:r w:rsidR="00860077" w:rsidRPr="00774831">
        <w:t>inclusion</w:t>
      </w:r>
      <w:r w:rsidR="00D1198D" w:rsidRPr="00774831">
        <w:t xml:space="preserve"> strategy is not equally </w:t>
      </w:r>
      <w:r w:rsidR="00530CA7" w:rsidRPr="00774831">
        <w:t xml:space="preserve">implemented </w:t>
      </w:r>
      <w:r w:rsidR="00D1198D" w:rsidRPr="00774831">
        <w:t xml:space="preserve">in schools; rules relating to the number of children </w:t>
      </w:r>
      <w:r w:rsidR="00860077" w:rsidRPr="00774831">
        <w:t xml:space="preserve">in mainstream schools </w:t>
      </w:r>
      <w:r w:rsidR="00D1198D" w:rsidRPr="00774831">
        <w:t xml:space="preserve">and to the management of </w:t>
      </w:r>
      <w:r w:rsidR="00860077" w:rsidRPr="00774831">
        <w:t>inclusive</w:t>
      </w:r>
      <w:r w:rsidR="00D1198D" w:rsidRPr="00774831">
        <w:t xml:space="preserve"> classes are </w:t>
      </w:r>
      <w:r w:rsidR="00530CA7" w:rsidRPr="00774831">
        <w:t xml:space="preserve">commonly </w:t>
      </w:r>
      <w:r w:rsidR="00D1198D" w:rsidRPr="00774831">
        <w:t xml:space="preserve">breached; and schools are not equitably distributed between regions of </w:t>
      </w:r>
      <w:r w:rsidR="003F201B" w:rsidRPr="00774831">
        <w:t>the</w:t>
      </w:r>
      <w:r w:rsidR="00D1198D" w:rsidRPr="00774831">
        <w:t xml:space="preserve"> same governorate</w:t>
      </w:r>
      <w:r w:rsidR="00F058AC" w:rsidRPr="00774831">
        <w:t>.</w:t>
      </w:r>
    </w:p>
    <w:p w:rsidR="00D1198D" w:rsidRPr="00774831" w:rsidRDefault="00774831" w:rsidP="00696374">
      <w:pPr>
        <w:pStyle w:val="SingleTxtG"/>
      </w:pPr>
      <w:r w:rsidRPr="00774831">
        <w:t>31.</w:t>
      </w:r>
      <w:r w:rsidRPr="00774831">
        <w:tab/>
      </w:r>
      <w:r w:rsidR="00D1198D" w:rsidRPr="00696374">
        <w:t xml:space="preserve">The Committee is equally concerned </w:t>
      </w:r>
      <w:r w:rsidR="00280176" w:rsidRPr="00696374">
        <w:t xml:space="preserve">that many </w:t>
      </w:r>
      <w:r w:rsidR="00D1198D" w:rsidRPr="00696374">
        <w:t>integrat</w:t>
      </w:r>
      <w:r w:rsidR="00280176" w:rsidRPr="00696374">
        <w:t>ed</w:t>
      </w:r>
      <w:r w:rsidR="00D1198D" w:rsidRPr="00696374">
        <w:t xml:space="preserve"> schools are not equipped to receive children with disabilities, and that the training of teachers</w:t>
      </w:r>
      <w:r w:rsidR="006E73B0" w:rsidRPr="00696374">
        <w:t xml:space="preserve"> and administrators</w:t>
      </w:r>
      <w:r w:rsidR="00D1198D" w:rsidRPr="00696374">
        <w:t xml:space="preserve"> </w:t>
      </w:r>
      <w:r w:rsidR="00FA34C1" w:rsidRPr="00696374">
        <w:t xml:space="preserve">with regard </w:t>
      </w:r>
      <w:r w:rsidR="00D1198D" w:rsidRPr="00696374">
        <w:t>to disabilities remains a concern in the State Party.</w:t>
      </w:r>
    </w:p>
    <w:p w:rsidR="00F068E8" w:rsidRPr="00774831" w:rsidRDefault="00774831" w:rsidP="00D16FA4">
      <w:pPr>
        <w:pStyle w:val="SingleTxtG"/>
      </w:pPr>
      <w:r w:rsidRPr="00774831">
        <w:t>32.</w:t>
      </w:r>
      <w:r w:rsidRPr="00774831">
        <w:tab/>
      </w:r>
      <w:r w:rsidR="00F068E8" w:rsidRPr="00D16FA4">
        <w:rPr>
          <w:b/>
        </w:rPr>
        <w:t>The Committee recommends that the State party:</w:t>
      </w:r>
      <w:r w:rsidR="00F068E8" w:rsidRPr="00774831">
        <w:t xml:space="preserve"> </w:t>
      </w:r>
    </w:p>
    <w:p w:rsidR="00AE25DB" w:rsidRPr="00D16FA4" w:rsidRDefault="00FA34C1" w:rsidP="00D16FA4">
      <w:pPr>
        <w:pStyle w:val="SingleTxtG"/>
        <w:ind w:firstLine="567"/>
        <w:rPr>
          <w:b/>
        </w:rPr>
      </w:pPr>
      <w:r w:rsidRPr="00D16FA4">
        <w:rPr>
          <w:b/>
        </w:rPr>
        <w:t>(a)</w:t>
      </w:r>
      <w:r w:rsidRPr="00D16FA4">
        <w:rPr>
          <w:b/>
        </w:rPr>
        <w:tab/>
      </w:r>
      <w:r w:rsidR="00AE25DB" w:rsidRPr="00D16FA4">
        <w:rPr>
          <w:b/>
        </w:rPr>
        <w:t>Take measures to ensure that persons with disabilities can exercise the right to freedom of expression and opinion on an equal basis with others and, in this regard, provide information intended for the general public in accessible formats and</w:t>
      </w:r>
      <w:r w:rsidRPr="00D16FA4">
        <w:rPr>
          <w:b/>
        </w:rPr>
        <w:t xml:space="preserve"> – </w:t>
      </w:r>
      <w:r w:rsidR="00AE25DB" w:rsidRPr="00D16FA4">
        <w:rPr>
          <w:b/>
        </w:rPr>
        <w:t>especially with respect to the deaf, hard</w:t>
      </w:r>
      <w:r w:rsidRPr="00D16FA4">
        <w:rPr>
          <w:b/>
        </w:rPr>
        <w:t>–o</w:t>
      </w:r>
      <w:r w:rsidR="00AE25DB" w:rsidRPr="00D16FA4">
        <w:rPr>
          <w:b/>
        </w:rPr>
        <w:t>f</w:t>
      </w:r>
      <w:r w:rsidRPr="00D16FA4">
        <w:rPr>
          <w:b/>
        </w:rPr>
        <w:t>-</w:t>
      </w:r>
      <w:r w:rsidR="00AE25DB" w:rsidRPr="00D16FA4">
        <w:rPr>
          <w:b/>
        </w:rPr>
        <w:t xml:space="preserve">hearing, and </w:t>
      </w:r>
      <w:r w:rsidR="00CE285C" w:rsidRPr="00D16FA4">
        <w:rPr>
          <w:b/>
        </w:rPr>
        <w:t>deaf</w:t>
      </w:r>
      <w:r w:rsidR="00AE25DB" w:rsidRPr="00D16FA4">
        <w:rPr>
          <w:b/>
        </w:rPr>
        <w:t xml:space="preserve">blind </w:t>
      </w:r>
      <w:r w:rsidRPr="00D16FA4">
        <w:rPr>
          <w:b/>
        </w:rPr>
        <w:t>–</w:t>
      </w:r>
      <w:r w:rsidR="00AE25DB" w:rsidRPr="00D16FA4">
        <w:rPr>
          <w:b/>
        </w:rPr>
        <w:t xml:space="preserve"> recognize and promote the use of sign language;</w:t>
      </w:r>
    </w:p>
    <w:p w:rsidR="00014884" w:rsidRPr="00774831" w:rsidRDefault="00F068E8" w:rsidP="00FA34C1">
      <w:pPr>
        <w:pStyle w:val="SingleTxtG"/>
        <w:ind w:left="1200" w:firstLine="600"/>
        <w:rPr>
          <w:b/>
          <w:bCs/>
        </w:rPr>
      </w:pPr>
      <w:r w:rsidRPr="00774831">
        <w:rPr>
          <w:b/>
          <w:bCs/>
        </w:rPr>
        <w:t>(</w:t>
      </w:r>
      <w:r w:rsidR="00CE285C" w:rsidRPr="00774831">
        <w:rPr>
          <w:b/>
          <w:bCs/>
        </w:rPr>
        <w:t>b</w:t>
      </w:r>
      <w:r w:rsidRPr="00774831">
        <w:rPr>
          <w:b/>
          <w:bCs/>
        </w:rPr>
        <w:t>)</w:t>
      </w:r>
      <w:r w:rsidRPr="00774831">
        <w:rPr>
          <w:b/>
          <w:bCs/>
        </w:rPr>
        <w:tab/>
        <w:t xml:space="preserve">Increase its efforts to enforce </w:t>
      </w:r>
      <w:r w:rsidR="00AE25DB" w:rsidRPr="00774831">
        <w:rPr>
          <w:b/>
          <w:bCs/>
        </w:rPr>
        <w:t>inclusive education for girls and boys with disabilities</w:t>
      </w:r>
      <w:r w:rsidR="00CE285C" w:rsidRPr="00774831">
        <w:rPr>
          <w:b/>
          <w:bCs/>
        </w:rPr>
        <w:t xml:space="preserve"> in all schools</w:t>
      </w:r>
      <w:r w:rsidR="00014884" w:rsidRPr="00774831">
        <w:rPr>
          <w:b/>
          <w:bCs/>
        </w:rPr>
        <w:t>;</w:t>
      </w:r>
    </w:p>
    <w:p w:rsidR="00F068E8" w:rsidRPr="00774831" w:rsidRDefault="00041BD2" w:rsidP="00FA34C1">
      <w:pPr>
        <w:pStyle w:val="SingleTxtG"/>
        <w:ind w:left="1200" w:firstLine="600"/>
        <w:rPr>
          <w:b/>
          <w:bCs/>
        </w:rPr>
      </w:pPr>
      <w:r w:rsidRPr="00774831">
        <w:rPr>
          <w:b/>
          <w:bCs/>
        </w:rPr>
        <w:t>(</w:t>
      </w:r>
      <w:r w:rsidR="00CE285C" w:rsidRPr="00774831">
        <w:rPr>
          <w:b/>
          <w:bCs/>
        </w:rPr>
        <w:t>c</w:t>
      </w:r>
      <w:r w:rsidRPr="00774831">
        <w:rPr>
          <w:b/>
          <w:bCs/>
        </w:rPr>
        <w:t>)</w:t>
      </w:r>
      <w:r w:rsidRPr="00774831">
        <w:rPr>
          <w:b/>
          <w:bCs/>
        </w:rPr>
        <w:tab/>
        <w:t>Intensify t</w:t>
      </w:r>
      <w:r w:rsidR="00F068E8" w:rsidRPr="00774831">
        <w:rPr>
          <w:b/>
          <w:bCs/>
        </w:rPr>
        <w:t>rain</w:t>
      </w:r>
      <w:r w:rsidRPr="00774831">
        <w:rPr>
          <w:b/>
          <w:bCs/>
        </w:rPr>
        <w:t>ing for</w:t>
      </w:r>
      <w:r w:rsidR="00F068E8" w:rsidRPr="00774831">
        <w:rPr>
          <w:b/>
          <w:bCs/>
        </w:rPr>
        <w:t xml:space="preserve"> </w:t>
      </w:r>
      <w:r w:rsidRPr="00774831">
        <w:rPr>
          <w:b/>
          <w:bCs/>
        </w:rPr>
        <w:t>education personnel</w:t>
      </w:r>
      <w:r w:rsidR="00AE25DB" w:rsidRPr="00774831">
        <w:rPr>
          <w:b/>
          <w:bCs/>
        </w:rPr>
        <w:t>,</w:t>
      </w:r>
      <w:r w:rsidRPr="00774831">
        <w:rPr>
          <w:b/>
          <w:bCs/>
        </w:rPr>
        <w:t xml:space="preserve"> including </w:t>
      </w:r>
      <w:r w:rsidR="00F068E8" w:rsidRPr="00774831">
        <w:rPr>
          <w:b/>
          <w:bCs/>
        </w:rPr>
        <w:t>teachers</w:t>
      </w:r>
      <w:r w:rsidR="00AE25DB" w:rsidRPr="00774831">
        <w:rPr>
          <w:b/>
          <w:bCs/>
        </w:rPr>
        <w:t xml:space="preserve"> and administrators</w:t>
      </w:r>
      <w:r w:rsidR="00F068E8" w:rsidRPr="00774831">
        <w:rPr>
          <w:b/>
          <w:bCs/>
        </w:rPr>
        <w:t xml:space="preserve">; </w:t>
      </w:r>
    </w:p>
    <w:p w:rsidR="00F068E8" w:rsidRPr="00774831" w:rsidRDefault="00014884" w:rsidP="00FA34C1">
      <w:pPr>
        <w:pStyle w:val="SingleTxtG"/>
        <w:ind w:left="1200" w:firstLine="600"/>
        <w:rPr>
          <w:b/>
          <w:bCs/>
        </w:rPr>
      </w:pPr>
      <w:r w:rsidRPr="00774831">
        <w:rPr>
          <w:b/>
          <w:bCs/>
        </w:rPr>
        <w:t xml:space="preserve"> (</w:t>
      </w:r>
      <w:r w:rsidR="00CE285C" w:rsidRPr="00774831">
        <w:rPr>
          <w:b/>
          <w:bCs/>
        </w:rPr>
        <w:t>d</w:t>
      </w:r>
      <w:r w:rsidR="00F068E8" w:rsidRPr="00774831">
        <w:rPr>
          <w:b/>
          <w:bCs/>
        </w:rPr>
        <w:t>)</w:t>
      </w:r>
      <w:r w:rsidR="00F068E8" w:rsidRPr="00774831">
        <w:rPr>
          <w:b/>
          <w:bCs/>
        </w:rPr>
        <w:tab/>
        <w:t xml:space="preserve">Allocate sufficient financial and human resources to implement the </w:t>
      </w:r>
      <w:r w:rsidR="00CE285C" w:rsidRPr="00774831">
        <w:rPr>
          <w:b/>
          <w:bCs/>
        </w:rPr>
        <w:t>n</w:t>
      </w:r>
      <w:r w:rsidR="00F068E8" w:rsidRPr="00774831">
        <w:rPr>
          <w:b/>
          <w:bCs/>
        </w:rPr>
        <w:t xml:space="preserve">ational programme of inclusive education </w:t>
      </w:r>
      <w:r w:rsidR="00CE285C" w:rsidRPr="00774831">
        <w:rPr>
          <w:b/>
          <w:bCs/>
        </w:rPr>
        <w:t>for</w:t>
      </w:r>
      <w:r w:rsidR="00F068E8" w:rsidRPr="00774831">
        <w:rPr>
          <w:b/>
          <w:bCs/>
        </w:rPr>
        <w:t xml:space="preserve"> children with disabilities</w:t>
      </w:r>
      <w:r w:rsidR="00CE285C" w:rsidRPr="00774831">
        <w:rPr>
          <w:b/>
          <w:bCs/>
        </w:rPr>
        <w:t>.</w:t>
      </w:r>
    </w:p>
    <w:p w:rsidR="00933399" w:rsidRPr="00774831" w:rsidRDefault="00BB0119" w:rsidP="00933399">
      <w:pPr>
        <w:pStyle w:val="H23G"/>
        <w:ind w:left="0" w:firstLine="0"/>
      </w:pPr>
      <w:r w:rsidRPr="00774831">
        <w:tab/>
      </w:r>
      <w:r w:rsidR="00933399" w:rsidRPr="00774831">
        <w:tab/>
        <w:t xml:space="preserve">Work and </w:t>
      </w:r>
      <w:r w:rsidR="00CE285C" w:rsidRPr="00774831">
        <w:t>e</w:t>
      </w:r>
      <w:r w:rsidR="00933399" w:rsidRPr="00774831">
        <w:t>mployment (art.</w:t>
      </w:r>
      <w:r w:rsidR="00CE285C" w:rsidRPr="00774831">
        <w:t xml:space="preserve"> </w:t>
      </w:r>
      <w:r w:rsidR="00933399" w:rsidRPr="00774831">
        <w:t>27)</w:t>
      </w:r>
    </w:p>
    <w:p w:rsidR="00933399" w:rsidRPr="00774831" w:rsidRDefault="00774831" w:rsidP="00D16FA4">
      <w:pPr>
        <w:pStyle w:val="SingleTxtG"/>
      </w:pPr>
      <w:r w:rsidRPr="00774831">
        <w:t>33.</w:t>
      </w:r>
      <w:r w:rsidRPr="00774831">
        <w:tab/>
      </w:r>
      <w:r w:rsidR="00933399" w:rsidRPr="00774831">
        <w:t xml:space="preserve">The Committee takes note of </w:t>
      </w:r>
      <w:r w:rsidR="008D62C8" w:rsidRPr="00774831">
        <w:t>the State party</w:t>
      </w:r>
      <w:r w:rsidR="00CE285C" w:rsidRPr="00774831">
        <w:t>’s efforts</w:t>
      </w:r>
      <w:r w:rsidR="008D62C8" w:rsidRPr="00774831">
        <w:t xml:space="preserve"> to support </w:t>
      </w:r>
      <w:r w:rsidR="003F201B" w:rsidRPr="00774831">
        <w:t xml:space="preserve">the </w:t>
      </w:r>
      <w:r w:rsidR="008D62C8" w:rsidRPr="00774831">
        <w:t>employment of persons with disabilities</w:t>
      </w:r>
      <w:r w:rsidR="00A67600" w:rsidRPr="00774831">
        <w:t xml:space="preserve"> in public services</w:t>
      </w:r>
      <w:r w:rsidR="008D62C8" w:rsidRPr="00774831">
        <w:t xml:space="preserve">. </w:t>
      </w:r>
      <w:r w:rsidR="00CE285C" w:rsidRPr="00774831">
        <w:t>H</w:t>
      </w:r>
      <w:r w:rsidR="008D62C8" w:rsidRPr="00774831">
        <w:t>owever</w:t>
      </w:r>
      <w:r w:rsidR="00CC241E" w:rsidRPr="00774831">
        <w:t>,</w:t>
      </w:r>
      <w:r w:rsidR="008D62C8" w:rsidRPr="00774831">
        <w:t xml:space="preserve"> </w:t>
      </w:r>
      <w:r w:rsidR="00CE285C" w:rsidRPr="00774831">
        <w:t xml:space="preserve">it </w:t>
      </w:r>
      <w:r w:rsidR="008D62C8" w:rsidRPr="00774831">
        <w:t xml:space="preserve">remains concerned </w:t>
      </w:r>
      <w:r w:rsidR="003F0F9C" w:rsidRPr="00774831">
        <w:t xml:space="preserve">at the </w:t>
      </w:r>
      <w:r w:rsidR="00AE25DB" w:rsidRPr="00774831">
        <w:t>low level of inclusion</w:t>
      </w:r>
      <w:r w:rsidR="003F0F9C" w:rsidRPr="00774831">
        <w:t xml:space="preserve"> of persons with disabilities in the private sector.</w:t>
      </w:r>
    </w:p>
    <w:p w:rsidR="00CE285C" w:rsidRPr="00774831" w:rsidRDefault="00774831" w:rsidP="00D16FA4">
      <w:pPr>
        <w:pStyle w:val="SingleTxtG"/>
      </w:pPr>
      <w:r w:rsidRPr="00774831">
        <w:t>34.</w:t>
      </w:r>
      <w:r w:rsidRPr="00774831">
        <w:tab/>
      </w:r>
      <w:r w:rsidR="008C5324" w:rsidRPr="00D16FA4">
        <w:rPr>
          <w:b/>
        </w:rPr>
        <w:t>T</w:t>
      </w:r>
      <w:r w:rsidR="00933399" w:rsidRPr="00D16FA4">
        <w:rPr>
          <w:b/>
        </w:rPr>
        <w:t>he Committee recommends that the State party:</w:t>
      </w:r>
    </w:p>
    <w:p w:rsidR="00933399" w:rsidRPr="00774831" w:rsidRDefault="00933399" w:rsidP="00CE285C">
      <w:pPr>
        <w:pStyle w:val="SingleTxtG"/>
        <w:ind w:left="1200" w:firstLine="600"/>
        <w:rPr>
          <w:b/>
        </w:rPr>
      </w:pPr>
      <w:r w:rsidRPr="00774831">
        <w:rPr>
          <w:b/>
        </w:rPr>
        <w:t>(a)</w:t>
      </w:r>
      <w:r w:rsidRPr="00774831">
        <w:rPr>
          <w:b/>
        </w:rPr>
        <w:tab/>
      </w:r>
      <w:r w:rsidR="008D62C8" w:rsidRPr="00774831">
        <w:rPr>
          <w:b/>
        </w:rPr>
        <w:t>E</w:t>
      </w:r>
      <w:r w:rsidR="00AB2017" w:rsidRPr="00774831">
        <w:rPr>
          <w:b/>
        </w:rPr>
        <w:t xml:space="preserve">nsure the implementation of measures of </w:t>
      </w:r>
      <w:r w:rsidR="001B5505" w:rsidRPr="00774831">
        <w:rPr>
          <w:b/>
        </w:rPr>
        <w:t>affirmative action</w:t>
      </w:r>
      <w:r w:rsidR="00AB2017" w:rsidRPr="00774831">
        <w:rPr>
          <w:b/>
        </w:rPr>
        <w:t xml:space="preserve"> </w:t>
      </w:r>
      <w:r w:rsidR="00CE285C" w:rsidRPr="00774831">
        <w:rPr>
          <w:b/>
        </w:rPr>
        <w:t>provided for</w:t>
      </w:r>
      <w:r w:rsidR="00AB2017" w:rsidRPr="00774831">
        <w:rPr>
          <w:b/>
        </w:rPr>
        <w:t xml:space="preserve"> in the law for the employment of </w:t>
      </w:r>
      <w:r w:rsidR="001B5505" w:rsidRPr="00774831">
        <w:rPr>
          <w:b/>
        </w:rPr>
        <w:t>women and men</w:t>
      </w:r>
      <w:r w:rsidR="00AB2017" w:rsidRPr="00774831">
        <w:rPr>
          <w:b/>
        </w:rPr>
        <w:t xml:space="preserve"> with disabilities;</w:t>
      </w:r>
    </w:p>
    <w:p w:rsidR="000B1BA2" w:rsidRPr="00774831" w:rsidRDefault="00177BE1" w:rsidP="00CE285C">
      <w:pPr>
        <w:pStyle w:val="SingleTxtG"/>
        <w:ind w:left="1200" w:firstLine="600"/>
        <w:rPr>
          <w:b/>
        </w:rPr>
      </w:pPr>
      <w:r w:rsidRPr="00774831">
        <w:rPr>
          <w:b/>
        </w:rPr>
        <w:t>(b)</w:t>
      </w:r>
      <w:r w:rsidRPr="00774831">
        <w:rPr>
          <w:b/>
        </w:rPr>
        <w:tab/>
      </w:r>
      <w:r w:rsidR="000B1BA2" w:rsidRPr="00774831">
        <w:rPr>
          <w:b/>
        </w:rPr>
        <w:t>Increase the diversity of employment and vocational training</w:t>
      </w:r>
      <w:r w:rsidR="001B5505" w:rsidRPr="00774831">
        <w:rPr>
          <w:b/>
        </w:rPr>
        <w:t xml:space="preserve"> opportunities for persons with disabilities</w:t>
      </w:r>
      <w:r w:rsidRPr="00774831">
        <w:rPr>
          <w:b/>
        </w:rPr>
        <w:t>;</w:t>
      </w:r>
      <w:r w:rsidR="0033447B" w:rsidRPr="00774831">
        <w:rPr>
          <w:b/>
        </w:rPr>
        <w:t xml:space="preserve"> and</w:t>
      </w:r>
    </w:p>
    <w:p w:rsidR="00177BE1" w:rsidRPr="00774831" w:rsidRDefault="0012648E" w:rsidP="00CE285C">
      <w:pPr>
        <w:pStyle w:val="SingleTxtG"/>
        <w:ind w:left="1200" w:firstLine="600"/>
        <w:rPr>
          <w:b/>
        </w:rPr>
      </w:pPr>
      <w:r w:rsidRPr="00774831">
        <w:rPr>
          <w:b/>
        </w:rPr>
        <w:t>(c)</w:t>
      </w:r>
      <w:r w:rsidR="00BC2A95" w:rsidRPr="00774831">
        <w:rPr>
          <w:b/>
        </w:rPr>
        <w:tab/>
        <w:t>Ensure the participation of persons with disabilities and their representative organi</w:t>
      </w:r>
      <w:r w:rsidR="00CE285C" w:rsidRPr="00774831">
        <w:rPr>
          <w:b/>
        </w:rPr>
        <w:t>z</w:t>
      </w:r>
      <w:r w:rsidR="00BC2A95" w:rsidRPr="00774831">
        <w:rPr>
          <w:b/>
        </w:rPr>
        <w:t>ations within the Labour Inspection Office and the Conciliation Committees</w:t>
      </w:r>
      <w:r w:rsidR="001B5505" w:rsidRPr="00774831">
        <w:rPr>
          <w:b/>
        </w:rPr>
        <w:t>.</w:t>
      </w:r>
    </w:p>
    <w:p w:rsidR="00E010FF" w:rsidRPr="00774831" w:rsidRDefault="00E010FF" w:rsidP="00E010FF">
      <w:pPr>
        <w:pStyle w:val="H23G"/>
        <w:ind w:firstLine="0"/>
      </w:pPr>
      <w:r w:rsidRPr="00774831">
        <w:t>Participation in political and public life (art. 29)</w:t>
      </w:r>
    </w:p>
    <w:p w:rsidR="00E010FF" w:rsidRPr="00774831" w:rsidRDefault="00774831" w:rsidP="00D16FA4">
      <w:pPr>
        <w:pStyle w:val="SingleTxtG"/>
      </w:pPr>
      <w:r w:rsidRPr="00774831">
        <w:t>35.</w:t>
      </w:r>
      <w:r w:rsidRPr="00774831">
        <w:tab/>
      </w:r>
      <w:r w:rsidR="00E010FF" w:rsidRPr="00D16FA4">
        <w:rPr>
          <w:b/>
        </w:rPr>
        <w:t>The Committee recommends the urgent adoption of legislative measures to ensure that</w:t>
      </w:r>
      <w:r w:rsidR="001F582D" w:rsidRPr="00D16FA4">
        <w:rPr>
          <w:b/>
        </w:rPr>
        <w:t xml:space="preserve"> </w:t>
      </w:r>
      <w:r w:rsidR="00E010FF" w:rsidRPr="00D16FA4">
        <w:rPr>
          <w:b/>
        </w:rPr>
        <w:t>persons with disabilities, including persons who are currently under guardianship or trusteeship, can exercise their right to vote and participate in public life</w:t>
      </w:r>
      <w:r w:rsidR="001F582D" w:rsidRPr="00D16FA4">
        <w:rPr>
          <w:b/>
        </w:rPr>
        <w:t>,</w:t>
      </w:r>
      <w:r w:rsidR="00E010FF" w:rsidRPr="00D16FA4">
        <w:rPr>
          <w:b/>
        </w:rPr>
        <w:t xml:space="preserve"> on an equal basis with others.</w:t>
      </w:r>
    </w:p>
    <w:p w:rsidR="00BB0119" w:rsidRPr="00774831" w:rsidRDefault="00933399" w:rsidP="003C49C6">
      <w:pPr>
        <w:pStyle w:val="H1G"/>
      </w:pPr>
      <w:r w:rsidRPr="00774831">
        <w:tab/>
      </w:r>
      <w:r w:rsidR="003C49C6" w:rsidRPr="00774831">
        <w:t>C</w:t>
      </w:r>
      <w:r w:rsidR="00BB0119" w:rsidRPr="00774831">
        <w:t>.</w:t>
      </w:r>
      <w:r w:rsidR="00BB0119" w:rsidRPr="00774831">
        <w:tab/>
      </w:r>
      <w:r w:rsidR="003919DB" w:rsidRPr="00774831">
        <w:t xml:space="preserve">Specific </w:t>
      </w:r>
      <w:r w:rsidR="001F582D" w:rsidRPr="00774831">
        <w:t>o</w:t>
      </w:r>
      <w:r w:rsidR="00BB0119" w:rsidRPr="00774831">
        <w:t>bligations (arts. 31-33)</w:t>
      </w:r>
    </w:p>
    <w:p w:rsidR="002F73E6" w:rsidRPr="00774831" w:rsidRDefault="002F73E6" w:rsidP="0027490D">
      <w:pPr>
        <w:pStyle w:val="H23G"/>
        <w:ind w:left="1100" w:firstLine="0"/>
      </w:pPr>
      <w:r w:rsidRPr="00774831">
        <w:t xml:space="preserve">Statistics and data collection (art. </w:t>
      </w:r>
      <w:r w:rsidR="006E7DB2" w:rsidRPr="00774831">
        <w:t>31</w:t>
      </w:r>
      <w:r w:rsidRPr="00774831">
        <w:t>)</w:t>
      </w:r>
    </w:p>
    <w:p w:rsidR="002F73E6" w:rsidRPr="00774831" w:rsidRDefault="00774831" w:rsidP="00D16FA4">
      <w:pPr>
        <w:pStyle w:val="SingleTxtG"/>
      </w:pPr>
      <w:r w:rsidRPr="00774831">
        <w:t>36.</w:t>
      </w:r>
      <w:r w:rsidRPr="00774831">
        <w:tab/>
      </w:r>
      <w:r w:rsidR="002F73E6" w:rsidRPr="00774831">
        <w:t xml:space="preserve">The Committee welcomes the </w:t>
      </w:r>
      <w:r w:rsidR="0027490D" w:rsidRPr="00774831">
        <w:t>plans to develop</w:t>
      </w:r>
      <w:r w:rsidR="0033447B" w:rsidRPr="00774831">
        <w:t xml:space="preserve"> a database to store</w:t>
      </w:r>
      <w:r w:rsidR="002F73E6" w:rsidRPr="00774831">
        <w:t xml:space="preserve"> all available data on persons with disabilities (</w:t>
      </w:r>
      <w:r w:rsidR="0027490D" w:rsidRPr="00774831">
        <w:t>CRPD/C/TUN/1</w:t>
      </w:r>
      <w:r w:rsidR="001F582D" w:rsidRPr="00774831">
        <w:t>, para. 7</w:t>
      </w:r>
      <w:r w:rsidR="002F73E6" w:rsidRPr="00774831">
        <w:t xml:space="preserve">), but regrets the low level of visibility of women with disabilities. </w:t>
      </w:r>
      <w:r w:rsidR="0027490D" w:rsidRPr="00774831">
        <w:t>T</w:t>
      </w:r>
      <w:r w:rsidR="002F73E6" w:rsidRPr="00774831">
        <w:t>he Committee recalls that such information is indispensable to understanding the situation of women with disabilities in the State party</w:t>
      </w:r>
      <w:r w:rsidR="001F582D" w:rsidRPr="00774831">
        <w:t>,</w:t>
      </w:r>
      <w:r w:rsidR="002F73E6" w:rsidRPr="00774831">
        <w:t xml:space="preserve"> and to assess</w:t>
      </w:r>
      <w:r w:rsidR="001F582D" w:rsidRPr="00774831">
        <w:t>ing</w:t>
      </w:r>
      <w:r w:rsidR="002F73E6" w:rsidRPr="00774831">
        <w:t xml:space="preserve"> the implementation of the Convention. </w:t>
      </w:r>
    </w:p>
    <w:p w:rsidR="002F73E6" w:rsidRPr="00774831" w:rsidRDefault="00774831" w:rsidP="00D16FA4">
      <w:pPr>
        <w:pStyle w:val="SingleTxtG"/>
      </w:pPr>
      <w:r w:rsidRPr="00774831">
        <w:t>37.</w:t>
      </w:r>
      <w:r w:rsidRPr="00774831">
        <w:tab/>
      </w:r>
      <w:r w:rsidR="002F73E6" w:rsidRPr="00D16FA4">
        <w:rPr>
          <w:b/>
        </w:rPr>
        <w:t xml:space="preserve">The Committee </w:t>
      </w:r>
      <w:r w:rsidR="0018599F" w:rsidRPr="00D16FA4">
        <w:rPr>
          <w:b/>
        </w:rPr>
        <w:t>recommends</w:t>
      </w:r>
      <w:r w:rsidR="002F73E6" w:rsidRPr="00D16FA4">
        <w:rPr>
          <w:b/>
        </w:rPr>
        <w:t xml:space="preserve"> </w:t>
      </w:r>
      <w:r w:rsidR="001F582D" w:rsidRPr="00D16FA4">
        <w:rPr>
          <w:b/>
        </w:rPr>
        <w:t xml:space="preserve">that </w:t>
      </w:r>
      <w:r w:rsidR="002F73E6" w:rsidRPr="00D16FA4">
        <w:rPr>
          <w:b/>
        </w:rPr>
        <w:t xml:space="preserve">the State party systematize the collection, analysis and dissemination of </w:t>
      </w:r>
      <w:r w:rsidR="0018599F" w:rsidRPr="00D16FA4">
        <w:rPr>
          <w:b/>
        </w:rPr>
        <w:t>data</w:t>
      </w:r>
      <w:r w:rsidR="001F582D" w:rsidRPr="00D16FA4">
        <w:rPr>
          <w:b/>
        </w:rPr>
        <w:t>,</w:t>
      </w:r>
      <w:r w:rsidR="0018599F" w:rsidRPr="00D16FA4">
        <w:rPr>
          <w:b/>
        </w:rPr>
        <w:t xml:space="preserve"> disaggregated by </w:t>
      </w:r>
      <w:r w:rsidR="002F73E6" w:rsidRPr="00D16FA4">
        <w:rPr>
          <w:b/>
        </w:rPr>
        <w:t>sex, age and disability</w:t>
      </w:r>
      <w:r w:rsidR="001F582D" w:rsidRPr="00D16FA4">
        <w:rPr>
          <w:b/>
        </w:rPr>
        <w:t>,</w:t>
      </w:r>
      <w:r w:rsidR="002F73E6" w:rsidRPr="00D16FA4">
        <w:rPr>
          <w:b/>
        </w:rPr>
        <w:t xml:space="preserve"> enhance capacity</w:t>
      </w:r>
      <w:r w:rsidR="0018599F" w:rsidRPr="00D16FA4">
        <w:rPr>
          <w:b/>
        </w:rPr>
        <w:t xml:space="preserve">-building </w:t>
      </w:r>
      <w:r w:rsidR="001651FD" w:rsidRPr="00D16FA4">
        <w:rPr>
          <w:b/>
        </w:rPr>
        <w:t>in this regard</w:t>
      </w:r>
      <w:r w:rsidR="002F73E6" w:rsidRPr="00D16FA4">
        <w:rPr>
          <w:b/>
        </w:rPr>
        <w:t xml:space="preserve">, and develop gender-sensitive indicators to support legislative developments, policymaking and </w:t>
      </w:r>
      <w:r w:rsidR="0018599F" w:rsidRPr="00D16FA4">
        <w:rPr>
          <w:b/>
        </w:rPr>
        <w:t>institutional strengthening</w:t>
      </w:r>
      <w:r w:rsidR="002F73E6" w:rsidRPr="00D16FA4">
        <w:rPr>
          <w:b/>
        </w:rPr>
        <w:t xml:space="preserve"> for monitoring and reporting on progress </w:t>
      </w:r>
      <w:r w:rsidR="0018599F" w:rsidRPr="00D16FA4">
        <w:rPr>
          <w:b/>
        </w:rPr>
        <w:t xml:space="preserve">made </w:t>
      </w:r>
      <w:r w:rsidR="001F582D" w:rsidRPr="00D16FA4">
        <w:rPr>
          <w:b/>
        </w:rPr>
        <w:t xml:space="preserve">with regard to </w:t>
      </w:r>
      <w:r w:rsidR="0018599F" w:rsidRPr="00D16FA4">
        <w:rPr>
          <w:b/>
        </w:rPr>
        <w:t>the implementation</w:t>
      </w:r>
      <w:r w:rsidR="002F73E6" w:rsidRPr="00D16FA4">
        <w:rPr>
          <w:b/>
        </w:rPr>
        <w:t xml:space="preserve"> of the various provisions of the Convention.</w:t>
      </w:r>
      <w:r w:rsidR="002F73E6" w:rsidRPr="00774831">
        <w:t xml:space="preserve"> </w:t>
      </w:r>
    </w:p>
    <w:p w:rsidR="00934508" w:rsidRPr="00774831" w:rsidRDefault="00774831" w:rsidP="00D16FA4">
      <w:pPr>
        <w:pStyle w:val="SingleTxtG"/>
      </w:pPr>
      <w:r w:rsidRPr="00774831">
        <w:t>38.</w:t>
      </w:r>
      <w:r w:rsidRPr="00774831">
        <w:tab/>
      </w:r>
      <w:r w:rsidR="00934508" w:rsidRPr="00774831">
        <w:t>The Committee regrets the invisibility of children with disabilities in data related to protection of children</w:t>
      </w:r>
      <w:r w:rsidR="0018599F" w:rsidRPr="00774831">
        <w:t>.</w:t>
      </w:r>
    </w:p>
    <w:p w:rsidR="00D37B94" w:rsidRPr="00774831" w:rsidRDefault="00774831" w:rsidP="00D16FA4">
      <w:pPr>
        <w:pStyle w:val="SingleTxtG"/>
      </w:pPr>
      <w:r w:rsidRPr="00774831">
        <w:t>39.</w:t>
      </w:r>
      <w:r w:rsidRPr="00774831">
        <w:tab/>
      </w:r>
      <w:r w:rsidR="00934508" w:rsidRPr="00D16FA4">
        <w:rPr>
          <w:b/>
        </w:rPr>
        <w:t xml:space="preserve">The Committee </w:t>
      </w:r>
      <w:r w:rsidR="0018599F" w:rsidRPr="00D16FA4">
        <w:rPr>
          <w:b/>
        </w:rPr>
        <w:t>recommends</w:t>
      </w:r>
      <w:r w:rsidR="00934508" w:rsidRPr="00D16FA4">
        <w:rPr>
          <w:b/>
        </w:rPr>
        <w:t xml:space="preserve"> </w:t>
      </w:r>
      <w:r w:rsidR="0033447B" w:rsidRPr="00D16FA4">
        <w:rPr>
          <w:b/>
        </w:rPr>
        <w:t xml:space="preserve">that </w:t>
      </w:r>
      <w:r w:rsidR="00934508" w:rsidRPr="00D16FA4">
        <w:rPr>
          <w:b/>
        </w:rPr>
        <w:t xml:space="preserve">the State party </w:t>
      </w:r>
      <w:r w:rsidR="0018599F" w:rsidRPr="00D16FA4">
        <w:rPr>
          <w:b/>
        </w:rPr>
        <w:t xml:space="preserve">systematically collect, analyse and disseminate </w:t>
      </w:r>
      <w:r w:rsidR="00934508" w:rsidRPr="00D16FA4">
        <w:rPr>
          <w:b/>
        </w:rPr>
        <w:t>data</w:t>
      </w:r>
      <w:r w:rsidR="0018599F" w:rsidRPr="00D16FA4">
        <w:rPr>
          <w:b/>
        </w:rPr>
        <w:t>, disaggregated by sex, age and disability</w:t>
      </w:r>
      <w:r w:rsidR="001F582D" w:rsidRPr="00D16FA4">
        <w:rPr>
          <w:b/>
        </w:rPr>
        <w:t>, on abuse and violence against children</w:t>
      </w:r>
      <w:r w:rsidR="00934508" w:rsidRPr="00D16FA4">
        <w:rPr>
          <w:b/>
        </w:rPr>
        <w:t>.</w:t>
      </w:r>
      <w:r w:rsidR="00934508" w:rsidRPr="00774831">
        <w:t xml:space="preserve"> </w:t>
      </w:r>
    </w:p>
    <w:p w:rsidR="00B662C5" w:rsidRPr="00774831" w:rsidRDefault="00B662C5" w:rsidP="00B662C5">
      <w:pPr>
        <w:pStyle w:val="H23G"/>
        <w:ind w:left="1100" w:firstLine="0"/>
      </w:pPr>
      <w:r w:rsidRPr="00774831">
        <w:t>International cooperation (art. 32)</w:t>
      </w:r>
    </w:p>
    <w:p w:rsidR="00B662C5" w:rsidRPr="00774831" w:rsidRDefault="00774831" w:rsidP="00F908D1">
      <w:pPr>
        <w:pStyle w:val="SingleTxtG"/>
      </w:pPr>
      <w:r w:rsidRPr="00774831">
        <w:t>40.</w:t>
      </w:r>
      <w:r w:rsidRPr="00774831">
        <w:tab/>
      </w:r>
      <w:r w:rsidR="00B662C5" w:rsidRPr="00F908D1">
        <w:rPr>
          <w:b/>
        </w:rPr>
        <w:t>The Committee encourages the State party to ensure that all international cooperation carried out on its territory</w:t>
      </w:r>
      <w:r w:rsidR="001F582D" w:rsidRPr="00F908D1">
        <w:rPr>
          <w:b/>
        </w:rPr>
        <w:t>,</w:t>
      </w:r>
      <w:r w:rsidR="00B662C5" w:rsidRPr="00F908D1">
        <w:rPr>
          <w:b/>
        </w:rPr>
        <w:t xml:space="preserve"> or in partnership with it</w:t>
      </w:r>
      <w:r w:rsidR="001F582D" w:rsidRPr="00F908D1">
        <w:rPr>
          <w:b/>
        </w:rPr>
        <w:t>,</w:t>
      </w:r>
      <w:r w:rsidR="00B662C5" w:rsidRPr="00F908D1">
        <w:rPr>
          <w:b/>
        </w:rPr>
        <w:t xml:space="preserve"> is fully inclusive of persons with disabilities</w:t>
      </w:r>
      <w:r w:rsidR="001F582D" w:rsidRPr="00F908D1">
        <w:rPr>
          <w:b/>
        </w:rPr>
        <w:t>,</w:t>
      </w:r>
      <w:r w:rsidR="00B662C5" w:rsidRPr="00F908D1">
        <w:rPr>
          <w:b/>
        </w:rPr>
        <w:t xml:space="preserve"> and promotes their active participation in international cooperation projects.</w:t>
      </w:r>
    </w:p>
    <w:p w:rsidR="00645088" w:rsidRPr="00774831" w:rsidRDefault="00645088" w:rsidP="00645088">
      <w:pPr>
        <w:pStyle w:val="H23G"/>
        <w:ind w:left="1100" w:firstLine="0"/>
      </w:pPr>
      <w:r w:rsidRPr="00774831">
        <w:t>National implementation and monitoring (art. 33)</w:t>
      </w:r>
    </w:p>
    <w:p w:rsidR="00645088" w:rsidRPr="00774831" w:rsidRDefault="00774831" w:rsidP="00F908D1">
      <w:pPr>
        <w:pStyle w:val="SingleTxtG"/>
      </w:pPr>
      <w:r w:rsidRPr="00774831">
        <w:t>41.</w:t>
      </w:r>
      <w:r w:rsidRPr="00774831">
        <w:tab/>
      </w:r>
      <w:r w:rsidR="00645088" w:rsidRPr="00774831">
        <w:t>The Committee</w:t>
      </w:r>
      <w:r w:rsidR="00FA200B" w:rsidRPr="00774831">
        <w:t xml:space="preserve"> </w:t>
      </w:r>
      <w:r w:rsidR="007754C2" w:rsidRPr="00774831">
        <w:t>takes note of</w:t>
      </w:r>
      <w:r w:rsidR="00FA200B" w:rsidRPr="00774831">
        <w:t xml:space="preserve"> </w:t>
      </w:r>
      <w:r w:rsidR="00B662C5" w:rsidRPr="00774831">
        <w:t>the existence of specialized</w:t>
      </w:r>
      <w:r w:rsidR="00FA200B" w:rsidRPr="00774831">
        <w:rPr>
          <w:bCs/>
        </w:rPr>
        <w:t xml:space="preserve"> institutions</w:t>
      </w:r>
      <w:r w:rsidR="00FA200B" w:rsidRPr="00774831">
        <w:t xml:space="preserve"> </w:t>
      </w:r>
      <w:r w:rsidR="00B662C5" w:rsidRPr="00774831">
        <w:t>mandated to protect</w:t>
      </w:r>
      <w:r w:rsidR="00FA200B" w:rsidRPr="00774831">
        <w:t xml:space="preserve"> the rights of persons with di</w:t>
      </w:r>
      <w:r w:rsidR="00B42FD4" w:rsidRPr="00774831">
        <w:t>sa</w:t>
      </w:r>
      <w:r w:rsidR="00FA200B" w:rsidRPr="00774831">
        <w:t xml:space="preserve">bilities, </w:t>
      </w:r>
      <w:r w:rsidR="00CF3E17" w:rsidRPr="00774831">
        <w:t>namely the Higher Council for the Social Advancement and Protection of Persons with Disabilities and the Higher Committee for Human Rights and Fundamental Freedoms</w:t>
      </w:r>
      <w:r w:rsidR="008B0D96" w:rsidRPr="00774831">
        <w:t>. However, it</w:t>
      </w:r>
      <w:r w:rsidR="00B42FD4" w:rsidRPr="00774831">
        <w:t xml:space="preserve"> </w:t>
      </w:r>
      <w:r w:rsidR="00B662C5" w:rsidRPr="00774831">
        <w:t>is</w:t>
      </w:r>
      <w:r w:rsidR="00B42FD4" w:rsidRPr="00774831">
        <w:t xml:space="preserve"> concerned </w:t>
      </w:r>
      <w:r w:rsidR="003F201B" w:rsidRPr="00774831">
        <w:t>by</w:t>
      </w:r>
      <w:r w:rsidR="00B42FD4" w:rsidRPr="00774831">
        <w:t xml:space="preserve"> the </w:t>
      </w:r>
      <w:r w:rsidR="0033447B" w:rsidRPr="00774831">
        <w:t xml:space="preserve">low </w:t>
      </w:r>
      <w:r w:rsidR="00B42FD4" w:rsidRPr="00774831">
        <w:t xml:space="preserve">participation of persons with disabilities </w:t>
      </w:r>
      <w:r w:rsidR="008B0D96" w:rsidRPr="00774831">
        <w:t xml:space="preserve">in, </w:t>
      </w:r>
      <w:r w:rsidR="00B42FD4" w:rsidRPr="00774831">
        <w:t>and the independence of</w:t>
      </w:r>
      <w:r w:rsidR="008B0D96" w:rsidRPr="00774831">
        <w:t>,</w:t>
      </w:r>
      <w:r w:rsidR="00B42FD4" w:rsidRPr="00774831">
        <w:t xml:space="preserve"> t</w:t>
      </w:r>
      <w:r w:rsidR="00366A69" w:rsidRPr="00774831">
        <w:t>hese institutions.</w:t>
      </w:r>
    </w:p>
    <w:p w:rsidR="00C51BCF" w:rsidRPr="00774831" w:rsidRDefault="00774831" w:rsidP="00F908D1">
      <w:pPr>
        <w:pStyle w:val="SingleTxtG"/>
      </w:pPr>
      <w:r w:rsidRPr="00774831">
        <w:t>42.</w:t>
      </w:r>
      <w:r w:rsidRPr="00774831">
        <w:tab/>
      </w:r>
      <w:r w:rsidR="00037B22" w:rsidRPr="00F908D1">
        <w:rPr>
          <w:b/>
        </w:rPr>
        <w:t xml:space="preserve">The Committee recommends </w:t>
      </w:r>
      <w:r w:rsidR="003C0B99" w:rsidRPr="00F908D1">
        <w:rPr>
          <w:b/>
        </w:rPr>
        <w:t xml:space="preserve">that </w:t>
      </w:r>
      <w:r w:rsidR="00037B22" w:rsidRPr="00F908D1">
        <w:rPr>
          <w:b/>
        </w:rPr>
        <w:t>the S</w:t>
      </w:r>
      <w:r w:rsidR="00C51BCF" w:rsidRPr="00F908D1">
        <w:rPr>
          <w:b/>
        </w:rPr>
        <w:t>tate party:</w:t>
      </w:r>
    </w:p>
    <w:p w:rsidR="00645088" w:rsidRPr="00774831" w:rsidRDefault="00774831" w:rsidP="00774831">
      <w:pPr>
        <w:ind w:left="1200" w:right="1139" w:firstLine="600"/>
        <w:jc w:val="both"/>
        <w:rPr>
          <w:b/>
        </w:rPr>
      </w:pPr>
      <w:r w:rsidRPr="00774831">
        <w:rPr>
          <w:b/>
        </w:rPr>
        <w:t>(a)</w:t>
      </w:r>
      <w:r w:rsidRPr="00774831">
        <w:rPr>
          <w:b/>
        </w:rPr>
        <w:tab/>
      </w:r>
      <w:r w:rsidR="00C51BCF" w:rsidRPr="00774831">
        <w:rPr>
          <w:b/>
        </w:rPr>
        <w:t>E</w:t>
      </w:r>
      <w:r w:rsidR="00037B22" w:rsidRPr="00774831">
        <w:rPr>
          <w:b/>
        </w:rPr>
        <w:t>nsure that disabled persons</w:t>
      </w:r>
      <w:r w:rsidR="00B47B29" w:rsidRPr="00774831">
        <w:rPr>
          <w:b/>
        </w:rPr>
        <w:t>’</w:t>
      </w:r>
      <w:r w:rsidR="00037B22" w:rsidRPr="00774831">
        <w:rPr>
          <w:b/>
        </w:rPr>
        <w:t xml:space="preserve"> organi</w:t>
      </w:r>
      <w:r w:rsidR="00B47B29" w:rsidRPr="00774831">
        <w:rPr>
          <w:b/>
        </w:rPr>
        <w:t>z</w:t>
      </w:r>
      <w:r w:rsidR="00037B22" w:rsidRPr="00774831">
        <w:rPr>
          <w:b/>
        </w:rPr>
        <w:t xml:space="preserve">ations </w:t>
      </w:r>
      <w:r w:rsidR="00B662C5" w:rsidRPr="00774831">
        <w:rPr>
          <w:b/>
        </w:rPr>
        <w:t xml:space="preserve">are able to </w:t>
      </w:r>
      <w:r w:rsidR="00FD0744" w:rsidRPr="00774831">
        <w:rPr>
          <w:b/>
        </w:rPr>
        <w:t>participate in the</w:t>
      </w:r>
      <w:r w:rsidR="00AB6CC6" w:rsidRPr="00774831">
        <w:rPr>
          <w:b/>
        </w:rPr>
        <w:t xml:space="preserve"> Higher Council </w:t>
      </w:r>
      <w:r w:rsidR="008617F0" w:rsidRPr="00774831">
        <w:rPr>
          <w:b/>
        </w:rPr>
        <w:t xml:space="preserve">for the </w:t>
      </w:r>
      <w:r w:rsidR="004C690C" w:rsidRPr="00774831">
        <w:rPr>
          <w:b/>
        </w:rPr>
        <w:t xml:space="preserve">Social Advancement and Protection </w:t>
      </w:r>
      <w:r w:rsidR="008617F0" w:rsidRPr="00774831">
        <w:rPr>
          <w:b/>
        </w:rPr>
        <w:t xml:space="preserve">of </w:t>
      </w:r>
      <w:r w:rsidR="00AB6CC6" w:rsidRPr="00774831">
        <w:rPr>
          <w:b/>
        </w:rPr>
        <w:t>Persons with Disabilities</w:t>
      </w:r>
      <w:r w:rsidR="00B47B29" w:rsidRPr="00774831">
        <w:rPr>
          <w:b/>
        </w:rPr>
        <w:t>,</w:t>
      </w:r>
      <w:r w:rsidR="00FD0744" w:rsidRPr="00774831">
        <w:rPr>
          <w:b/>
        </w:rPr>
        <w:t xml:space="preserve"> </w:t>
      </w:r>
      <w:r w:rsidR="00AB6CC6" w:rsidRPr="00774831">
        <w:rPr>
          <w:b/>
        </w:rPr>
        <w:t xml:space="preserve">and </w:t>
      </w:r>
      <w:r w:rsidR="00B662C5" w:rsidRPr="00774831">
        <w:rPr>
          <w:b/>
        </w:rPr>
        <w:t>thus play</w:t>
      </w:r>
      <w:r w:rsidR="00AB6CC6" w:rsidRPr="00774831">
        <w:rPr>
          <w:b/>
        </w:rPr>
        <w:t xml:space="preserve"> a central role</w:t>
      </w:r>
      <w:r w:rsidR="00DD01E0" w:rsidRPr="00774831">
        <w:rPr>
          <w:b/>
        </w:rPr>
        <w:t xml:space="preserve"> in monitoring the implementation of the Convention</w:t>
      </w:r>
      <w:r w:rsidR="008B2A1A" w:rsidRPr="00774831">
        <w:rPr>
          <w:b/>
        </w:rPr>
        <w:t>;</w:t>
      </w:r>
    </w:p>
    <w:p w:rsidR="00C51BCF" w:rsidRPr="00774831" w:rsidRDefault="00774831" w:rsidP="00774831">
      <w:pPr>
        <w:ind w:left="1200" w:right="1139" w:firstLine="600"/>
        <w:jc w:val="both"/>
        <w:rPr>
          <w:b/>
        </w:rPr>
      </w:pPr>
      <w:r w:rsidRPr="00774831">
        <w:rPr>
          <w:b/>
        </w:rPr>
        <w:t>(b)</w:t>
      </w:r>
      <w:r w:rsidRPr="00774831">
        <w:rPr>
          <w:b/>
        </w:rPr>
        <w:tab/>
      </w:r>
      <w:r w:rsidR="00E447B3" w:rsidRPr="00774831">
        <w:rPr>
          <w:b/>
        </w:rPr>
        <w:t>Ensure that the Higher Committee for Human Rights and Fundamental Fr</w:t>
      </w:r>
      <w:r w:rsidR="00C01B9F" w:rsidRPr="00774831">
        <w:rPr>
          <w:b/>
        </w:rPr>
        <w:t>e</w:t>
      </w:r>
      <w:r w:rsidR="00E447B3" w:rsidRPr="00774831">
        <w:rPr>
          <w:b/>
        </w:rPr>
        <w:t xml:space="preserve">edoms </w:t>
      </w:r>
      <w:r w:rsidR="00B662C5" w:rsidRPr="00774831">
        <w:rPr>
          <w:b/>
        </w:rPr>
        <w:t>complies with</w:t>
      </w:r>
      <w:r w:rsidR="00E447B3" w:rsidRPr="00774831">
        <w:rPr>
          <w:b/>
        </w:rPr>
        <w:t xml:space="preserve"> the Principles relating to the Status of National Institutions </w:t>
      </w:r>
      <w:r w:rsidR="00027BE1" w:rsidRPr="00774831">
        <w:rPr>
          <w:b/>
        </w:rPr>
        <w:t xml:space="preserve">(see </w:t>
      </w:r>
      <w:r w:rsidR="00B222D6">
        <w:rPr>
          <w:b/>
        </w:rPr>
        <w:t xml:space="preserve">General Assembly resolution </w:t>
      </w:r>
      <w:r w:rsidR="00B662C5" w:rsidRPr="00774831">
        <w:rPr>
          <w:b/>
        </w:rPr>
        <w:t>48/134</w:t>
      </w:r>
      <w:r w:rsidR="00027BE1" w:rsidRPr="00774831">
        <w:rPr>
          <w:b/>
        </w:rPr>
        <w:t xml:space="preserve">, </w:t>
      </w:r>
      <w:r w:rsidR="00B222D6">
        <w:rPr>
          <w:b/>
        </w:rPr>
        <w:t>a</w:t>
      </w:r>
      <w:r w:rsidR="00027BE1" w:rsidRPr="00774831">
        <w:rPr>
          <w:b/>
        </w:rPr>
        <w:t>nnex),</w:t>
      </w:r>
      <w:r w:rsidR="00B662C5" w:rsidRPr="00774831">
        <w:rPr>
          <w:b/>
        </w:rPr>
        <w:t xml:space="preserve"> and establish a dedicated unit on disabilities.</w:t>
      </w:r>
    </w:p>
    <w:p w:rsidR="00EF22BF" w:rsidRPr="00774831" w:rsidRDefault="00645088" w:rsidP="00EF22BF">
      <w:pPr>
        <w:pStyle w:val="H23G"/>
      </w:pPr>
      <w:r w:rsidRPr="00774831">
        <w:tab/>
      </w:r>
      <w:r w:rsidRPr="00774831">
        <w:tab/>
      </w:r>
      <w:r w:rsidR="00EF22BF" w:rsidRPr="00774831">
        <w:t>Follow-up and dissemination</w:t>
      </w:r>
    </w:p>
    <w:p w:rsidR="00EF22BF" w:rsidRPr="00774831" w:rsidRDefault="00774831" w:rsidP="00F908D1">
      <w:pPr>
        <w:pStyle w:val="SingleTxtG"/>
      </w:pPr>
      <w:r w:rsidRPr="00774831">
        <w:t>43.</w:t>
      </w:r>
      <w:r w:rsidRPr="00774831">
        <w:tab/>
      </w:r>
      <w:r w:rsidR="00EF22BF" w:rsidRPr="00774831">
        <w:t xml:space="preserve">The </w:t>
      </w:r>
      <w:r w:rsidR="00EF22BF" w:rsidRPr="00774831">
        <w:rPr>
          <w:bCs/>
        </w:rPr>
        <w:t xml:space="preserve">Committee </w:t>
      </w:r>
      <w:r w:rsidR="004B627F" w:rsidRPr="00774831">
        <w:t xml:space="preserve">notes with appreciation the </w:t>
      </w:r>
      <w:r w:rsidR="000A68A5" w:rsidRPr="00774831">
        <w:t xml:space="preserve">voluntary pledge and </w:t>
      </w:r>
      <w:r w:rsidR="004B627F" w:rsidRPr="00774831">
        <w:t xml:space="preserve">commitment </w:t>
      </w:r>
      <w:r w:rsidR="000A68A5" w:rsidRPr="00774831">
        <w:t xml:space="preserve">made by </w:t>
      </w:r>
      <w:r w:rsidR="0049390A" w:rsidRPr="00774831">
        <w:t>the State party</w:t>
      </w:r>
      <w:r w:rsidR="004B627F" w:rsidRPr="00774831">
        <w:t xml:space="preserve"> to</w:t>
      </w:r>
      <w:r w:rsidR="000A68A5" w:rsidRPr="00774831">
        <w:t xml:space="preserve"> implement the recommendations of the Committee</w:t>
      </w:r>
      <w:r w:rsidR="004B627F" w:rsidRPr="00774831">
        <w:t xml:space="preserve"> </w:t>
      </w:r>
      <w:r w:rsidR="000A68A5" w:rsidRPr="00774831">
        <w:t>(</w:t>
      </w:r>
      <w:r w:rsidR="0049390A" w:rsidRPr="00774831">
        <w:t>CRPD/C/TUN/1</w:t>
      </w:r>
      <w:r w:rsidR="00027BE1" w:rsidRPr="00774831">
        <w:t>, para. 4</w:t>
      </w:r>
      <w:r w:rsidR="0060727E" w:rsidRPr="00774831">
        <w:t>) and</w:t>
      </w:r>
      <w:r w:rsidR="0049390A" w:rsidRPr="00774831">
        <w:t>, in this regard,</w:t>
      </w:r>
      <w:r w:rsidR="0060727E" w:rsidRPr="00774831">
        <w:t xml:space="preserve"> requests </w:t>
      </w:r>
      <w:r w:rsidR="0049390A" w:rsidRPr="00774831">
        <w:t>it</w:t>
      </w:r>
      <w:r w:rsidR="0060727E" w:rsidRPr="00774831">
        <w:t xml:space="preserve"> to</w:t>
      </w:r>
      <w:r w:rsidR="00EF22BF" w:rsidRPr="00774831">
        <w:t xml:space="preserve"> include in its second periodic report detailed information on measures taken to follow up the recommendations made in </w:t>
      </w:r>
      <w:r w:rsidR="003F201B" w:rsidRPr="00774831">
        <w:t>the present</w:t>
      </w:r>
      <w:r w:rsidR="00EF22BF" w:rsidRPr="00774831">
        <w:t xml:space="preserve"> concluding observations. The Committee recommends that the State party take all appropriate measures to ensure that these recommendations are implemented, by</w:t>
      </w:r>
      <w:r w:rsidR="00027BE1" w:rsidRPr="00774831">
        <w:t>, inter alia,</w:t>
      </w:r>
      <w:r w:rsidR="00EF22BF" w:rsidRPr="00774831">
        <w:t xml:space="preserve"> transmitting them for consideration and action to members of the Government and </w:t>
      </w:r>
      <w:r w:rsidR="00040BE9" w:rsidRPr="00774831">
        <w:t>P</w:t>
      </w:r>
      <w:r w:rsidR="00EF22BF" w:rsidRPr="00774831">
        <w:t>arliament, as well as local authorities.</w:t>
      </w:r>
    </w:p>
    <w:p w:rsidR="003919DB" w:rsidRPr="00774831" w:rsidRDefault="00B222D6" w:rsidP="00F908D1">
      <w:pPr>
        <w:pStyle w:val="SingleTxtG"/>
      </w:pPr>
      <w:r>
        <w:t>44.</w:t>
      </w:r>
      <w:r>
        <w:tab/>
      </w:r>
      <w:r w:rsidR="00EF22BF" w:rsidRPr="00774831">
        <w:t xml:space="preserve">The Committee encourages the State party to continue </w:t>
      </w:r>
      <w:r w:rsidR="00027BE1" w:rsidRPr="00774831">
        <w:t>to</w:t>
      </w:r>
      <w:r w:rsidR="00EF22BF" w:rsidRPr="00774831">
        <w:t xml:space="preserve"> implement the Convention</w:t>
      </w:r>
      <w:r w:rsidR="00027BE1" w:rsidRPr="00774831">
        <w:t>,</w:t>
      </w:r>
      <w:r w:rsidR="00EF22BF" w:rsidRPr="00774831">
        <w:t xml:space="preserve"> and to involve civil society organizations</w:t>
      </w:r>
      <w:r w:rsidR="00920428" w:rsidRPr="00774831">
        <w:t>, in particular disabled persons</w:t>
      </w:r>
      <w:r w:rsidR="00027BE1" w:rsidRPr="00774831">
        <w:t>’</w:t>
      </w:r>
      <w:r w:rsidR="00920428" w:rsidRPr="00774831">
        <w:t xml:space="preserve"> organi</w:t>
      </w:r>
      <w:r w:rsidR="00027BE1" w:rsidRPr="00774831">
        <w:t>z</w:t>
      </w:r>
      <w:r w:rsidR="00920428" w:rsidRPr="00774831">
        <w:t>ations,</w:t>
      </w:r>
      <w:r w:rsidR="00EF22BF" w:rsidRPr="00774831">
        <w:t xml:space="preserve"> in the preparation of its second </w:t>
      </w:r>
      <w:r w:rsidR="003F201B" w:rsidRPr="00774831">
        <w:t xml:space="preserve">periodic </w:t>
      </w:r>
      <w:r w:rsidR="00EF22BF" w:rsidRPr="00774831">
        <w:t>report.</w:t>
      </w:r>
      <w:r w:rsidR="00774831" w:rsidRPr="00774831">
        <w:tab/>
      </w:r>
    </w:p>
    <w:p w:rsidR="00EF22BF" w:rsidRPr="00774831" w:rsidRDefault="00774831" w:rsidP="00696374">
      <w:pPr>
        <w:pStyle w:val="SingleTxtG"/>
      </w:pPr>
      <w:r w:rsidRPr="00774831">
        <w:t>45.</w:t>
      </w:r>
      <w:r w:rsidRPr="00774831">
        <w:tab/>
      </w:r>
      <w:r w:rsidR="00EF22BF" w:rsidRPr="00774831">
        <w:t>The Committee requests the State party to disseminate these concluding observations widely, including to public agencies</w:t>
      </w:r>
      <w:r w:rsidR="003C49C6" w:rsidRPr="00774831">
        <w:t>,</w:t>
      </w:r>
      <w:r w:rsidR="00EF22BF" w:rsidRPr="00774831">
        <w:t xml:space="preserve"> the judiciary, non-governmental organizations and other members of </w:t>
      </w:r>
      <w:r w:rsidR="003C49C6" w:rsidRPr="00774831">
        <w:t xml:space="preserve">the </w:t>
      </w:r>
      <w:r w:rsidR="00EF22BF" w:rsidRPr="00774831">
        <w:t xml:space="preserve">civil society, and to take steps to make them known to </w:t>
      </w:r>
      <w:r w:rsidR="002A66A9" w:rsidRPr="00774831">
        <w:t>persons with disabilities and members of their families</w:t>
      </w:r>
      <w:r w:rsidR="00040BE9" w:rsidRPr="00774831">
        <w:t xml:space="preserve"> in accessible formats</w:t>
      </w:r>
      <w:r w:rsidR="00EF22BF" w:rsidRPr="00774831">
        <w:t xml:space="preserve">. </w:t>
      </w:r>
    </w:p>
    <w:p w:rsidR="00040BE9" w:rsidRPr="00696374" w:rsidRDefault="00040BE9" w:rsidP="00696374">
      <w:pPr>
        <w:pStyle w:val="SingleTxtG"/>
        <w:rPr>
          <w:b/>
        </w:rPr>
      </w:pPr>
      <w:r w:rsidRPr="00696374">
        <w:rPr>
          <w:b/>
        </w:rPr>
        <w:t>Technical cooperation</w:t>
      </w:r>
    </w:p>
    <w:p w:rsidR="00040BE9" w:rsidRPr="00774831" w:rsidRDefault="00774831" w:rsidP="00F908D1">
      <w:pPr>
        <w:pStyle w:val="SingleTxtG"/>
      </w:pPr>
      <w:r w:rsidRPr="00774831">
        <w:t>46.</w:t>
      </w:r>
      <w:r w:rsidRPr="00774831">
        <w:tab/>
      </w:r>
      <w:r w:rsidR="00040BE9" w:rsidRPr="00774831">
        <w:t>The Committee recommends that the State Party avail itself of technical cooperation from the member organi</w:t>
      </w:r>
      <w:r w:rsidR="003C49C6" w:rsidRPr="00774831">
        <w:t>z</w:t>
      </w:r>
      <w:r w:rsidR="00040BE9" w:rsidRPr="00774831">
        <w:t xml:space="preserve">ations of the Inter-Agency Support Group </w:t>
      </w:r>
      <w:r w:rsidR="003C49C6" w:rsidRPr="00774831">
        <w:t xml:space="preserve">(IASG) </w:t>
      </w:r>
      <w:r w:rsidR="00040BE9" w:rsidRPr="00774831">
        <w:t>for the Convention for the purpose of obtaining guidance and assistance on implement</w:t>
      </w:r>
      <w:r w:rsidR="003C49C6" w:rsidRPr="00774831">
        <w:t>ing</w:t>
      </w:r>
      <w:r w:rsidR="00040BE9" w:rsidRPr="00774831">
        <w:t xml:space="preserve"> the Convention and the present concluding observations. It recommends, in this regard, that the State party conclude an agreement with the Office of the United Nations High Commissioner for Human Rights (OHCHR) </w:t>
      </w:r>
      <w:r w:rsidR="003C49C6" w:rsidRPr="00774831">
        <w:t>to</w:t>
      </w:r>
      <w:r w:rsidR="00040BE9" w:rsidRPr="00774831">
        <w:t xml:space="preserve"> establish a country office a</w:t>
      </w:r>
      <w:r w:rsidR="003C49C6" w:rsidRPr="00774831">
        <w:t xml:space="preserve">s </w:t>
      </w:r>
      <w:r w:rsidR="00040BE9" w:rsidRPr="00774831">
        <w:t>soon</w:t>
      </w:r>
      <w:r w:rsidR="003C49C6" w:rsidRPr="00774831">
        <w:t xml:space="preserve"> as </w:t>
      </w:r>
      <w:r w:rsidR="00040BE9" w:rsidRPr="00774831">
        <w:t>possible</w:t>
      </w:r>
      <w:r w:rsidR="003C49C6" w:rsidRPr="00774831">
        <w:t>.</w:t>
      </w:r>
      <w:r w:rsidR="00040BE9" w:rsidRPr="00774831">
        <w:t xml:space="preserve"> </w:t>
      </w:r>
    </w:p>
    <w:p w:rsidR="00EF22BF" w:rsidRPr="00774831" w:rsidRDefault="003C49C6" w:rsidP="00EF22BF">
      <w:pPr>
        <w:pStyle w:val="H23G"/>
      </w:pPr>
      <w:r w:rsidRPr="00774831">
        <w:tab/>
      </w:r>
      <w:r w:rsidRPr="00774831">
        <w:tab/>
      </w:r>
      <w:r w:rsidR="00EF22BF" w:rsidRPr="00774831">
        <w:t>Next report</w:t>
      </w:r>
    </w:p>
    <w:p w:rsidR="00040BE9" w:rsidRPr="00774831" w:rsidRDefault="00774831" w:rsidP="00F908D1">
      <w:pPr>
        <w:pStyle w:val="SingleTxtG"/>
      </w:pPr>
      <w:r w:rsidRPr="00774831">
        <w:t>47.</w:t>
      </w:r>
      <w:r w:rsidRPr="00774831">
        <w:tab/>
      </w:r>
      <w:r w:rsidR="00EF22BF" w:rsidRPr="00774831">
        <w:t xml:space="preserve">The Committee requests the State party to submit its second periodic report no later than </w:t>
      </w:r>
      <w:r w:rsidR="00040BE9" w:rsidRPr="00774831">
        <w:t>2 April 2014</w:t>
      </w:r>
      <w:r w:rsidR="008E3C80" w:rsidRPr="00774831">
        <w:t>, and to include therein information on the implementation of the present concluding observations</w:t>
      </w:r>
      <w:r w:rsidR="00040BE9" w:rsidRPr="00774831">
        <w:t>.</w:t>
      </w:r>
    </w:p>
    <w:p w:rsidR="00040BE9" w:rsidRPr="00535663" w:rsidRDefault="00774831" w:rsidP="00F908D1">
      <w:pPr>
        <w:pStyle w:val="SingleTxtG"/>
      </w:pPr>
      <w:r w:rsidRPr="00774831">
        <w:t>48.</w:t>
      </w:r>
      <w:r w:rsidRPr="00774831">
        <w:tab/>
      </w:r>
      <w:r w:rsidR="003919DB" w:rsidRPr="00774831">
        <w:t xml:space="preserve">The Committee draws the </w:t>
      </w:r>
      <w:r w:rsidR="00040BE9" w:rsidRPr="00774831">
        <w:t>State part</w:t>
      </w:r>
      <w:r w:rsidR="003919DB" w:rsidRPr="00774831">
        <w:t>y’s</w:t>
      </w:r>
      <w:r w:rsidR="00040BE9" w:rsidRPr="00774831">
        <w:t xml:space="preserve"> </w:t>
      </w:r>
      <w:r w:rsidR="0079384A" w:rsidRPr="00774831">
        <w:t xml:space="preserve">attention </w:t>
      </w:r>
      <w:r w:rsidR="00040BE9" w:rsidRPr="00774831">
        <w:t xml:space="preserve">to the </w:t>
      </w:r>
      <w:r w:rsidR="003919DB" w:rsidRPr="00774831">
        <w:t xml:space="preserve">harmonized guidelines </w:t>
      </w:r>
      <w:r w:rsidR="00790B4B" w:rsidRPr="00774831">
        <w:t xml:space="preserve">on reporting under the international human rights treaties </w:t>
      </w:r>
      <w:r w:rsidR="003919DB" w:rsidRPr="00774831">
        <w:t>(HRI/GEN/2/Rev.6)</w:t>
      </w:r>
      <w:r w:rsidR="005435C4" w:rsidRPr="00774831">
        <w:t>,</w:t>
      </w:r>
      <w:r w:rsidR="003919DB" w:rsidRPr="00774831">
        <w:t xml:space="preserve"> which require </w:t>
      </w:r>
      <w:r w:rsidR="00790B4B" w:rsidRPr="00774831">
        <w:t xml:space="preserve">State </w:t>
      </w:r>
      <w:r w:rsidR="003919DB" w:rsidRPr="00774831">
        <w:t>reports to be submitted</w:t>
      </w:r>
      <w:r w:rsidR="0079384A" w:rsidRPr="00774831">
        <w:t xml:space="preserve"> in two parts: a common core document and </w:t>
      </w:r>
      <w:r w:rsidR="00040BE9" w:rsidRPr="00774831">
        <w:t>a treaty-specific document, of which</w:t>
      </w:r>
      <w:r w:rsidR="0079384A" w:rsidRPr="00774831">
        <w:t xml:space="preserve">, only the later </w:t>
      </w:r>
      <w:r w:rsidR="00040BE9" w:rsidRPr="00774831">
        <w:t>was available to the Committee during the dialogue</w:t>
      </w:r>
      <w:r w:rsidR="0079384A" w:rsidRPr="00774831">
        <w:t>. T</w:t>
      </w:r>
      <w:r w:rsidR="00040BE9" w:rsidRPr="00774831">
        <w:t xml:space="preserve">he Committee recommends that the State party elaborate </w:t>
      </w:r>
      <w:r w:rsidR="0079384A" w:rsidRPr="00774831">
        <w:t>and submit a</w:t>
      </w:r>
      <w:r w:rsidR="00040BE9" w:rsidRPr="00774831">
        <w:t xml:space="preserve"> </w:t>
      </w:r>
      <w:r w:rsidR="0079384A" w:rsidRPr="00774831">
        <w:t>c</w:t>
      </w:r>
      <w:r w:rsidR="00040BE9" w:rsidRPr="00774831">
        <w:t xml:space="preserve">ommon </w:t>
      </w:r>
      <w:r w:rsidR="0079384A" w:rsidRPr="00774831">
        <w:t>c</w:t>
      </w:r>
      <w:r w:rsidR="00040BE9" w:rsidRPr="00774831">
        <w:t xml:space="preserve">ore </w:t>
      </w:r>
      <w:r w:rsidR="0079384A" w:rsidRPr="00774831">
        <w:t>d</w:t>
      </w:r>
      <w:r w:rsidR="00040BE9" w:rsidRPr="00774831">
        <w:t xml:space="preserve">ocument in </w:t>
      </w:r>
      <w:r w:rsidR="0079384A" w:rsidRPr="00774831">
        <w:t xml:space="preserve">accordance </w:t>
      </w:r>
      <w:r w:rsidR="00040BE9" w:rsidRPr="00774831">
        <w:t>with the guidelines</w:t>
      </w:r>
      <w:r w:rsidR="0079384A" w:rsidRPr="00774831">
        <w:t>.</w:t>
      </w:r>
    </w:p>
    <w:p w:rsidR="00BF17DE" w:rsidRPr="00BF17DE" w:rsidRDefault="00BF17DE" w:rsidP="00BF17DE">
      <w:pPr>
        <w:spacing w:before="240"/>
        <w:ind w:left="1134" w:right="1134"/>
        <w:jc w:val="center"/>
        <w:rPr>
          <w:u w:val="single"/>
        </w:rPr>
      </w:pPr>
      <w:r>
        <w:rPr>
          <w:u w:val="single"/>
        </w:rPr>
        <w:tab/>
      </w:r>
      <w:r>
        <w:rPr>
          <w:u w:val="single"/>
        </w:rPr>
        <w:tab/>
      </w:r>
      <w:r>
        <w:rPr>
          <w:u w:val="single"/>
        </w:rPr>
        <w:tab/>
      </w:r>
    </w:p>
    <w:sectPr w:rsidR="00BF17DE" w:rsidRPr="00BF17DE" w:rsidSect="00B37D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55" w:rsidRDefault="00621155"/>
    <w:p w:rsidR="00621155" w:rsidRDefault="00621155"/>
  </w:endnote>
  <w:endnote w:type="continuationSeparator" w:id="0">
    <w:p w:rsidR="00621155" w:rsidRDefault="00621155"/>
    <w:p w:rsidR="00621155" w:rsidRDefault="00621155"/>
  </w:endnote>
  <w:endnote w:type="continuationNotice" w:id="1">
    <w:p w:rsidR="00621155" w:rsidRDefault="00621155"/>
    <w:p w:rsidR="00621155" w:rsidRDefault="006211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68" w:rsidRPr="00B37D21" w:rsidRDefault="00EC2368" w:rsidP="00B37D21">
    <w:pPr>
      <w:pStyle w:val="Footer"/>
      <w:tabs>
        <w:tab w:val="right" w:pos="9638"/>
      </w:tabs>
    </w:pPr>
    <w:r w:rsidRPr="00B37D21">
      <w:rPr>
        <w:b/>
        <w:sz w:val="18"/>
      </w:rPr>
      <w:fldChar w:fldCharType="begin"/>
    </w:r>
    <w:r w:rsidRPr="00B37D21">
      <w:rPr>
        <w:b/>
        <w:sz w:val="18"/>
      </w:rPr>
      <w:instrText xml:space="preserve"> PAGE  \* MERGEFORMAT </w:instrText>
    </w:r>
    <w:r w:rsidRPr="00B37D21">
      <w:rPr>
        <w:b/>
        <w:sz w:val="18"/>
      </w:rPr>
      <w:fldChar w:fldCharType="separate"/>
    </w:r>
    <w:r w:rsidR="00581157">
      <w:rPr>
        <w:b/>
        <w:noProof/>
        <w:sz w:val="18"/>
      </w:rPr>
      <w:t>8</w:t>
    </w:r>
    <w:r w:rsidRPr="00B37D21">
      <w:rPr>
        <w:b/>
        <w:sz w:val="18"/>
      </w:rPr>
      <w:fldChar w:fldCharType="end"/>
    </w:r>
    <w:r>
      <w:rPr>
        <w:sz w:val="18"/>
      </w:rPr>
      <w:tab/>
    </w:r>
  </w:p>
  <w:p w:rsidR="00EC2368" w:rsidRDefault="00EC23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68" w:rsidRPr="00B37D21" w:rsidRDefault="00EC2368" w:rsidP="00B37D21">
    <w:pPr>
      <w:pStyle w:val="Footer"/>
      <w:tabs>
        <w:tab w:val="right" w:pos="9638"/>
      </w:tabs>
      <w:rPr>
        <w:b/>
        <w:sz w:val="18"/>
      </w:rPr>
    </w:pPr>
    <w:r>
      <w:tab/>
    </w:r>
    <w:r w:rsidRPr="00B37D21">
      <w:rPr>
        <w:b/>
        <w:sz w:val="18"/>
      </w:rPr>
      <w:fldChar w:fldCharType="begin"/>
    </w:r>
    <w:r w:rsidRPr="00B37D21">
      <w:rPr>
        <w:b/>
        <w:sz w:val="18"/>
      </w:rPr>
      <w:instrText xml:space="preserve"> PAGE  \* MERGEFORMAT </w:instrText>
    </w:r>
    <w:r w:rsidRPr="00B37D21">
      <w:rPr>
        <w:b/>
        <w:sz w:val="18"/>
      </w:rPr>
      <w:fldChar w:fldCharType="separate"/>
    </w:r>
    <w:r w:rsidR="00581157">
      <w:rPr>
        <w:b/>
        <w:noProof/>
        <w:sz w:val="18"/>
      </w:rPr>
      <w:t>7</w:t>
    </w:r>
    <w:r w:rsidRPr="00B37D21">
      <w:rPr>
        <w:b/>
        <w:sz w:val="18"/>
      </w:rPr>
      <w:fldChar w:fldCharType="end"/>
    </w:r>
  </w:p>
  <w:p w:rsidR="00EC2368" w:rsidRDefault="00EC236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68" w:rsidRPr="00B37D21" w:rsidRDefault="00EC236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A44464">
      <w:t>11</w:t>
    </w:r>
    <w:r w:rsidR="00933E4E">
      <w:t>-42792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55" w:rsidRPr="000B175B" w:rsidRDefault="00621155" w:rsidP="000B175B">
      <w:pPr>
        <w:tabs>
          <w:tab w:val="right" w:pos="2155"/>
        </w:tabs>
        <w:spacing w:after="80"/>
        <w:ind w:left="680"/>
        <w:rPr>
          <w:u w:val="single"/>
        </w:rPr>
      </w:pPr>
      <w:r>
        <w:rPr>
          <w:u w:val="single"/>
        </w:rPr>
        <w:tab/>
      </w:r>
    </w:p>
    <w:p w:rsidR="00621155" w:rsidRDefault="00621155"/>
  </w:footnote>
  <w:footnote w:type="continuationSeparator" w:id="0">
    <w:p w:rsidR="00621155" w:rsidRPr="00FC68B7" w:rsidRDefault="00621155" w:rsidP="00FC68B7">
      <w:pPr>
        <w:tabs>
          <w:tab w:val="left" w:pos="2155"/>
        </w:tabs>
        <w:spacing w:after="80"/>
        <w:ind w:left="680"/>
        <w:rPr>
          <w:u w:val="single"/>
        </w:rPr>
      </w:pPr>
      <w:r>
        <w:rPr>
          <w:u w:val="single"/>
        </w:rPr>
        <w:tab/>
      </w:r>
    </w:p>
    <w:p w:rsidR="00621155" w:rsidRDefault="00621155"/>
  </w:footnote>
  <w:footnote w:type="continuationNotice" w:id="1">
    <w:p w:rsidR="00621155" w:rsidRDefault="00621155"/>
    <w:p w:rsidR="00621155" w:rsidRDefault="006211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68" w:rsidRPr="00B37D21" w:rsidRDefault="00EC2368" w:rsidP="00127649">
    <w:pPr>
      <w:pStyle w:val="Header"/>
    </w:pPr>
    <w:r>
      <w:t>CRPD/C/TUN/CO/1</w:t>
    </w:r>
  </w:p>
  <w:p w:rsidR="00EC2368" w:rsidRDefault="00EC23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68" w:rsidRPr="00B37D21" w:rsidRDefault="00EC2368" w:rsidP="00127649">
    <w:pPr>
      <w:pStyle w:val="Header"/>
      <w:jc w:val="right"/>
    </w:pPr>
    <w:r>
      <w:t>CRPD/C/TUN/CO/1</w:t>
    </w:r>
  </w:p>
  <w:p w:rsidR="00EC2368" w:rsidRDefault="00EC23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64" w:rsidRDefault="00A44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7953F6"/>
    <w:multiLevelType w:val="hybridMultilevel"/>
    <w:tmpl w:val="14F2FDE4"/>
    <w:lvl w:ilvl="0" w:tplc="CFC44426">
      <w:start w:val="1"/>
      <w:numFmt w:val="decimal"/>
      <w:lvlText w:val="%1."/>
      <w:lvlJc w:val="left"/>
      <w:pPr>
        <w:tabs>
          <w:tab w:val="num" w:pos="3474"/>
        </w:tabs>
        <w:ind w:left="347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76D58"/>
    <w:multiLevelType w:val="hybridMultilevel"/>
    <w:tmpl w:val="CBBC64A6"/>
    <w:lvl w:ilvl="0" w:tplc="F36C01EE">
      <w:start w:val="1"/>
      <w:numFmt w:val="decimal"/>
      <w:lvlText w:val="%1."/>
      <w:lvlJc w:val="left"/>
      <w:pPr>
        <w:tabs>
          <w:tab w:val="num" w:pos="1689"/>
        </w:tabs>
        <w:ind w:left="1689" w:hanging="555"/>
      </w:pPr>
      <w:rPr>
        <w:rFonts w:hint="default"/>
        <w:color w:val="auto"/>
      </w:rPr>
    </w:lvl>
    <w:lvl w:ilvl="1" w:tplc="569AA8F8">
      <w:start w:val="1"/>
      <w:numFmt w:val="lowerLetter"/>
      <w:lvlText w:val="(%2)"/>
      <w:lvlJc w:val="left"/>
      <w:pPr>
        <w:tabs>
          <w:tab w:val="num" w:pos="2214"/>
        </w:tabs>
        <w:ind w:left="2214" w:hanging="360"/>
      </w:pPr>
      <w:rPr>
        <w:rFonts w:hint="default"/>
        <w:color w:val="auto"/>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rPr>
        <w:rFonts w:hint="default"/>
        <w:color w:val="auto"/>
      </w:r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CA2586B"/>
    <w:multiLevelType w:val="hybridMultilevel"/>
    <w:tmpl w:val="4F7E1118"/>
    <w:lvl w:ilvl="0" w:tplc="9016495E">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53704CD2">
      <w:start w:val="1"/>
      <w:numFmt w:val="decimal"/>
      <w:lvlText w:val="%3."/>
      <w:lvlJc w:val="righ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4E707CF"/>
    <w:multiLevelType w:val="hybridMultilevel"/>
    <w:tmpl w:val="85884218"/>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42DA74E7"/>
    <w:multiLevelType w:val="hybridMultilevel"/>
    <w:tmpl w:val="C70EE45C"/>
    <w:lvl w:ilvl="0" w:tplc="1B447ACC">
      <w:start w:val="1"/>
      <w:numFmt w:val="decimal"/>
      <w:lvlText w:val="%1."/>
      <w:lvlJc w:val="left"/>
      <w:pPr>
        <w:tabs>
          <w:tab w:val="num" w:pos="1854"/>
        </w:tabs>
        <w:ind w:left="1854" w:hanging="360"/>
      </w:pPr>
      <w:rPr>
        <w:b w:val="0"/>
        <w:bCs/>
        <w:i w:val="0"/>
        <w:iCs/>
      </w:rPr>
    </w:lvl>
    <w:lvl w:ilvl="1" w:tplc="E5904DCA">
      <w:start w:val="1"/>
      <w:numFmt w:val="lowerLetter"/>
      <w:lvlText w:val="(%2)"/>
      <w:lvlJc w:val="left"/>
      <w:pPr>
        <w:tabs>
          <w:tab w:val="num" w:pos="2574"/>
        </w:tabs>
        <w:ind w:left="2574" w:hanging="360"/>
      </w:pPr>
      <w:rPr>
        <w:rFonts w:hint="default"/>
        <w:i w:val="0"/>
        <w:iCs/>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57D259FA"/>
    <w:multiLevelType w:val="multilevel"/>
    <w:tmpl w:val="2E6EAD28"/>
    <w:lvl w:ilvl="0">
      <w:start w:val="1"/>
      <w:numFmt w:val="decimal"/>
      <w:lvlText w:val="%1."/>
      <w:lvlJc w:val="left"/>
      <w:pPr>
        <w:tabs>
          <w:tab w:val="num" w:pos="1854"/>
        </w:tabs>
        <w:ind w:left="1854" w:hanging="360"/>
      </w:pPr>
      <w:rPr>
        <w:i w:val="0"/>
        <w:iCs/>
      </w:rPr>
    </w:lvl>
    <w:lvl w:ilvl="1">
      <w:start w:val="1"/>
      <w:numFmt w:val="lowerLetter"/>
      <w:lvlText w:val="%2)"/>
      <w:lvlJc w:val="left"/>
      <w:pPr>
        <w:tabs>
          <w:tab w:val="num" w:pos="2574"/>
        </w:tabs>
        <w:ind w:left="2574" w:hanging="360"/>
      </w:pPr>
      <w:rPr>
        <w:i w:val="0"/>
        <w:iCs/>
      </w:r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7">
    <w:nsid w:val="618E4B15"/>
    <w:multiLevelType w:val="multilevel"/>
    <w:tmpl w:val="AF96A290"/>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nsid w:val="66267D0E"/>
    <w:multiLevelType w:val="multilevel"/>
    <w:tmpl w:val="90BE3B82"/>
    <w:lvl w:ilvl="0">
      <w:start w:val="1"/>
      <w:numFmt w:val="decimal"/>
      <w:lvlText w:val="%1."/>
      <w:lvlJc w:val="left"/>
      <w:pPr>
        <w:tabs>
          <w:tab w:val="num" w:pos="1689"/>
        </w:tabs>
        <w:ind w:left="1689" w:hanging="555"/>
      </w:pPr>
      <w:rPr>
        <w:rFonts w:hint="default"/>
        <w:color w:val="auto"/>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rPr>
        <w:rFonts w:hint="default"/>
        <w:color w:val="auto"/>
      </w:r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7640BF5"/>
    <w:multiLevelType w:val="hybridMultilevel"/>
    <w:tmpl w:val="B8AC4EE4"/>
    <w:lvl w:ilvl="0" w:tplc="F7C2690E">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10"/>
  </w:num>
  <w:num w:numId="4">
    <w:abstractNumId w:val="5"/>
  </w:num>
  <w:num w:numId="5">
    <w:abstractNumId w:val="6"/>
  </w:num>
  <w:num w:numId="6">
    <w:abstractNumId w:val="4"/>
  </w:num>
  <w:num w:numId="7">
    <w:abstractNumId w:val="2"/>
  </w:num>
  <w:num w:numId="8">
    <w:abstractNumId w:val="8"/>
  </w:num>
  <w:num w:numId="9">
    <w:abstractNumId w:val="3"/>
  </w:num>
  <w:num w:numId="10">
    <w:abstractNumId w:val="7"/>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D21"/>
    <w:rsid w:val="00002C07"/>
    <w:rsid w:val="0000693E"/>
    <w:rsid w:val="00011AE3"/>
    <w:rsid w:val="000122E8"/>
    <w:rsid w:val="0001295B"/>
    <w:rsid w:val="00014884"/>
    <w:rsid w:val="00015250"/>
    <w:rsid w:val="00023D07"/>
    <w:rsid w:val="00027BE1"/>
    <w:rsid w:val="0003072F"/>
    <w:rsid w:val="00032FF2"/>
    <w:rsid w:val="00037704"/>
    <w:rsid w:val="00037B22"/>
    <w:rsid w:val="00040BE9"/>
    <w:rsid w:val="00041BD2"/>
    <w:rsid w:val="00043F47"/>
    <w:rsid w:val="00050F6B"/>
    <w:rsid w:val="000514DB"/>
    <w:rsid w:val="00064F60"/>
    <w:rsid w:val="000652B0"/>
    <w:rsid w:val="00065BB8"/>
    <w:rsid w:val="00067F1D"/>
    <w:rsid w:val="00072641"/>
    <w:rsid w:val="00072C8C"/>
    <w:rsid w:val="000733B5"/>
    <w:rsid w:val="00075446"/>
    <w:rsid w:val="00077485"/>
    <w:rsid w:val="00081183"/>
    <w:rsid w:val="00090285"/>
    <w:rsid w:val="000931C0"/>
    <w:rsid w:val="000A09CF"/>
    <w:rsid w:val="000A5D3B"/>
    <w:rsid w:val="000A68A5"/>
    <w:rsid w:val="000A713B"/>
    <w:rsid w:val="000B09A8"/>
    <w:rsid w:val="000B1029"/>
    <w:rsid w:val="000B175B"/>
    <w:rsid w:val="000B1BA2"/>
    <w:rsid w:val="000B3A0F"/>
    <w:rsid w:val="000B4EF7"/>
    <w:rsid w:val="000C0902"/>
    <w:rsid w:val="000C1462"/>
    <w:rsid w:val="000C2D2E"/>
    <w:rsid w:val="000D19F6"/>
    <w:rsid w:val="000D41E5"/>
    <w:rsid w:val="000E0415"/>
    <w:rsid w:val="000E228F"/>
    <w:rsid w:val="000E33B1"/>
    <w:rsid w:val="000E4247"/>
    <w:rsid w:val="000E4405"/>
    <w:rsid w:val="000F3F72"/>
    <w:rsid w:val="000F67CE"/>
    <w:rsid w:val="001035AF"/>
    <w:rsid w:val="00106D72"/>
    <w:rsid w:val="001103AA"/>
    <w:rsid w:val="00113558"/>
    <w:rsid w:val="00124D0D"/>
    <w:rsid w:val="0012648E"/>
    <w:rsid w:val="00127649"/>
    <w:rsid w:val="00130B28"/>
    <w:rsid w:val="00135B01"/>
    <w:rsid w:val="0014363F"/>
    <w:rsid w:val="00147B59"/>
    <w:rsid w:val="00153B51"/>
    <w:rsid w:val="00155467"/>
    <w:rsid w:val="00161C01"/>
    <w:rsid w:val="001651FD"/>
    <w:rsid w:val="00171290"/>
    <w:rsid w:val="00171EE9"/>
    <w:rsid w:val="001778CF"/>
    <w:rsid w:val="00177BE1"/>
    <w:rsid w:val="00180D95"/>
    <w:rsid w:val="00182D24"/>
    <w:rsid w:val="00183C20"/>
    <w:rsid w:val="0018599F"/>
    <w:rsid w:val="0018711F"/>
    <w:rsid w:val="0019496F"/>
    <w:rsid w:val="001B4B04"/>
    <w:rsid w:val="001B5505"/>
    <w:rsid w:val="001C2A16"/>
    <w:rsid w:val="001C6663"/>
    <w:rsid w:val="001C7895"/>
    <w:rsid w:val="001D0E7B"/>
    <w:rsid w:val="001D157D"/>
    <w:rsid w:val="001D26DF"/>
    <w:rsid w:val="001D3A62"/>
    <w:rsid w:val="001D4DE3"/>
    <w:rsid w:val="001E3F2F"/>
    <w:rsid w:val="001E4286"/>
    <w:rsid w:val="001E4DD5"/>
    <w:rsid w:val="001E5AA0"/>
    <w:rsid w:val="001E7186"/>
    <w:rsid w:val="001E7CBC"/>
    <w:rsid w:val="001E7ED0"/>
    <w:rsid w:val="001F034A"/>
    <w:rsid w:val="001F06FF"/>
    <w:rsid w:val="001F582D"/>
    <w:rsid w:val="002011D2"/>
    <w:rsid w:val="00202C8C"/>
    <w:rsid w:val="00202DA8"/>
    <w:rsid w:val="00206F15"/>
    <w:rsid w:val="00211E0B"/>
    <w:rsid w:val="00217A65"/>
    <w:rsid w:val="002218A2"/>
    <w:rsid w:val="00222273"/>
    <w:rsid w:val="0022682B"/>
    <w:rsid w:val="002276A8"/>
    <w:rsid w:val="00230D10"/>
    <w:rsid w:val="00235C75"/>
    <w:rsid w:val="0024095E"/>
    <w:rsid w:val="00240F39"/>
    <w:rsid w:val="002449F6"/>
    <w:rsid w:val="002504BE"/>
    <w:rsid w:val="00252952"/>
    <w:rsid w:val="0025340D"/>
    <w:rsid w:val="00255205"/>
    <w:rsid w:val="0025756B"/>
    <w:rsid w:val="00261DB3"/>
    <w:rsid w:val="00264B45"/>
    <w:rsid w:val="0027490D"/>
    <w:rsid w:val="00280176"/>
    <w:rsid w:val="00294AF7"/>
    <w:rsid w:val="0029546D"/>
    <w:rsid w:val="00295A6F"/>
    <w:rsid w:val="002A66A9"/>
    <w:rsid w:val="002A67B2"/>
    <w:rsid w:val="002B28EE"/>
    <w:rsid w:val="002B4E2B"/>
    <w:rsid w:val="002B5095"/>
    <w:rsid w:val="002C0B87"/>
    <w:rsid w:val="002C6A33"/>
    <w:rsid w:val="002E516B"/>
    <w:rsid w:val="002F175C"/>
    <w:rsid w:val="002F73E6"/>
    <w:rsid w:val="0031672F"/>
    <w:rsid w:val="00317443"/>
    <w:rsid w:val="003175F6"/>
    <w:rsid w:val="003229D8"/>
    <w:rsid w:val="00323AE6"/>
    <w:rsid w:val="00325723"/>
    <w:rsid w:val="0033447B"/>
    <w:rsid w:val="00343BD8"/>
    <w:rsid w:val="0034727B"/>
    <w:rsid w:val="00347FB4"/>
    <w:rsid w:val="00352709"/>
    <w:rsid w:val="00354570"/>
    <w:rsid w:val="00356C3C"/>
    <w:rsid w:val="00363390"/>
    <w:rsid w:val="00366A69"/>
    <w:rsid w:val="00366C6E"/>
    <w:rsid w:val="00371178"/>
    <w:rsid w:val="00380C68"/>
    <w:rsid w:val="003852FA"/>
    <w:rsid w:val="0038755C"/>
    <w:rsid w:val="003919DB"/>
    <w:rsid w:val="003937F3"/>
    <w:rsid w:val="00395476"/>
    <w:rsid w:val="00396157"/>
    <w:rsid w:val="003A163F"/>
    <w:rsid w:val="003A2AB4"/>
    <w:rsid w:val="003A3BCB"/>
    <w:rsid w:val="003A4810"/>
    <w:rsid w:val="003A6272"/>
    <w:rsid w:val="003A6810"/>
    <w:rsid w:val="003B06F5"/>
    <w:rsid w:val="003B1824"/>
    <w:rsid w:val="003B3674"/>
    <w:rsid w:val="003C06B2"/>
    <w:rsid w:val="003C0B99"/>
    <w:rsid w:val="003C17EF"/>
    <w:rsid w:val="003C2CC4"/>
    <w:rsid w:val="003C3919"/>
    <w:rsid w:val="003C49C6"/>
    <w:rsid w:val="003C74DE"/>
    <w:rsid w:val="003D4B23"/>
    <w:rsid w:val="003D5886"/>
    <w:rsid w:val="003D691D"/>
    <w:rsid w:val="003D78B3"/>
    <w:rsid w:val="003E1681"/>
    <w:rsid w:val="003E2EF0"/>
    <w:rsid w:val="003F025A"/>
    <w:rsid w:val="003F0F9C"/>
    <w:rsid w:val="003F201B"/>
    <w:rsid w:val="003F3AEA"/>
    <w:rsid w:val="004015BC"/>
    <w:rsid w:val="00405DDC"/>
    <w:rsid w:val="00410C89"/>
    <w:rsid w:val="0041319F"/>
    <w:rsid w:val="0041553B"/>
    <w:rsid w:val="00416D1D"/>
    <w:rsid w:val="00424F2C"/>
    <w:rsid w:val="004325CB"/>
    <w:rsid w:val="0043357D"/>
    <w:rsid w:val="0043565E"/>
    <w:rsid w:val="00435E81"/>
    <w:rsid w:val="00437F8E"/>
    <w:rsid w:val="004428E5"/>
    <w:rsid w:val="00445424"/>
    <w:rsid w:val="0045129D"/>
    <w:rsid w:val="004512F6"/>
    <w:rsid w:val="0045495B"/>
    <w:rsid w:val="004553C5"/>
    <w:rsid w:val="00463E94"/>
    <w:rsid w:val="00464D26"/>
    <w:rsid w:val="00472A3B"/>
    <w:rsid w:val="00475F3E"/>
    <w:rsid w:val="0048327F"/>
    <w:rsid w:val="0049390A"/>
    <w:rsid w:val="00495C97"/>
    <w:rsid w:val="004A2367"/>
    <w:rsid w:val="004A5869"/>
    <w:rsid w:val="004A74E3"/>
    <w:rsid w:val="004B12EB"/>
    <w:rsid w:val="004B130C"/>
    <w:rsid w:val="004B5425"/>
    <w:rsid w:val="004B5E81"/>
    <w:rsid w:val="004B627F"/>
    <w:rsid w:val="004B78C6"/>
    <w:rsid w:val="004C1115"/>
    <w:rsid w:val="004C16D3"/>
    <w:rsid w:val="004C2E12"/>
    <w:rsid w:val="004C33D5"/>
    <w:rsid w:val="004C50F8"/>
    <w:rsid w:val="004C592B"/>
    <w:rsid w:val="004C61DC"/>
    <w:rsid w:val="004C690C"/>
    <w:rsid w:val="004C7C4B"/>
    <w:rsid w:val="004D25E4"/>
    <w:rsid w:val="004D359F"/>
    <w:rsid w:val="004E63FC"/>
    <w:rsid w:val="004F5252"/>
    <w:rsid w:val="00500FC2"/>
    <w:rsid w:val="005017B4"/>
    <w:rsid w:val="00506065"/>
    <w:rsid w:val="00517B36"/>
    <w:rsid w:val="00521B81"/>
    <w:rsid w:val="005235EA"/>
    <w:rsid w:val="00530CA7"/>
    <w:rsid w:val="00530FE1"/>
    <w:rsid w:val="005342C0"/>
    <w:rsid w:val="00536C5E"/>
    <w:rsid w:val="005373DE"/>
    <w:rsid w:val="005420F2"/>
    <w:rsid w:val="005435C4"/>
    <w:rsid w:val="00545E4A"/>
    <w:rsid w:val="00547DC3"/>
    <w:rsid w:val="0055329E"/>
    <w:rsid w:val="00553794"/>
    <w:rsid w:val="0056282A"/>
    <w:rsid w:val="00563D9D"/>
    <w:rsid w:val="00565F3F"/>
    <w:rsid w:val="00571D76"/>
    <w:rsid w:val="00573421"/>
    <w:rsid w:val="00580862"/>
    <w:rsid w:val="00581157"/>
    <w:rsid w:val="00584986"/>
    <w:rsid w:val="005855F2"/>
    <w:rsid w:val="005869DA"/>
    <w:rsid w:val="00590AA0"/>
    <w:rsid w:val="005A039B"/>
    <w:rsid w:val="005A5A06"/>
    <w:rsid w:val="005A74CE"/>
    <w:rsid w:val="005B004C"/>
    <w:rsid w:val="005B3DB3"/>
    <w:rsid w:val="005C4802"/>
    <w:rsid w:val="005C5DA8"/>
    <w:rsid w:val="005C6A79"/>
    <w:rsid w:val="005C7876"/>
    <w:rsid w:val="005D4C8E"/>
    <w:rsid w:val="005E7127"/>
    <w:rsid w:val="005E73A3"/>
    <w:rsid w:val="005F05CF"/>
    <w:rsid w:val="005F584E"/>
    <w:rsid w:val="005F6783"/>
    <w:rsid w:val="006001EE"/>
    <w:rsid w:val="006054D8"/>
    <w:rsid w:val="006058DB"/>
    <w:rsid w:val="0060727E"/>
    <w:rsid w:val="00607951"/>
    <w:rsid w:val="00611FC4"/>
    <w:rsid w:val="00613852"/>
    <w:rsid w:val="006176FB"/>
    <w:rsid w:val="00621155"/>
    <w:rsid w:val="00623FC6"/>
    <w:rsid w:val="00624E52"/>
    <w:rsid w:val="006258B4"/>
    <w:rsid w:val="006360D5"/>
    <w:rsid w:val="0064068D"/>
    <w:rsid w:val="00640B26"/>
    <w:rsid w:val="00644ED4"/>
    <w:rsid w:val="00645088"/>
    <w:rsid w:val="00646687"/>
    <w:rsid w:val="0065021A"/>
    <w:rsid w:val="00655D41"/>
    <w:rsid w:val="006623DE"/>
    <w:rsid w:val="00663254"/>
    <w:rsid w:val="00664903"/>
    <w:rsid w:val="00667387"/>
    <w:rsid w:val="0067299E"/>
    <w:rsid w:val="00675F31"/>
    <w:rsid w:val="00677554"/>
    <w:rsid w:val="006778FC"/>
    <w:rsid w:val="00686452"/>
    <w:rsid w:val="00691727"/>
    <w:rsid w:val="00696374"/>
    <w:rsid w:val="00697231"/>
    <w:rsid w:val="00697DAB"/>
    <w:rsid w:val="006A2231"/>
    <w:rsid w:val="006B027C"/>
    <w:rsid w:val="006B08CD"/>
    <w:rsid w:val="006B1856"/>
    <w:rsid w:val="006B566F"/>
    <w:rsid w:val="006C0224"/>
    <w:rsid w:val="006C5F51"/>
    <w:rsid w:val="006C6178"/>
    <w:rsid w:val="006C7E47"/>
    <w:rsid w:val="006D13D7"/>
    <w:rsid w:val="006E176C"/>
    <w:rsid w:val="006E278B"/>
    <w:rsid w:val="006E50D5"/>
    <w:rsid w:val="006E564B"/>
    <w:rsid w:val="006E73B0"/>
    <w:rsid w:val="006E7DB2"/>
    <w:rsid w:val="006F464E"/>
    <w:rsid w:val="006F4D39"/>
    <w:rsid w:val="006F6FF0"/>
    <w:rsid w:val="006F7FC3"/>
    <w:rsid w:val="00701151"/>
    <w:rsid w:val="007020EB"/>
    <w:rsid w:val="00703571"/>
    <w:rsid w:val="00703F68"/>
    <w:rsid w:val="00720AD1"/>
    <w:rsid w:val="0072250A"/>
    <w:rsid w:val="00723D46"/>
    <w:rsid w:val="0072632A"/>
    <w:rsid w:val="00727FA9"/>
    <w:rsid w:val="00730337"/>
    <w:rsid w:val="00732FAE"/>
    <w:rsid w:val="00740EF1"/>
    <w:rsid w:val="00756D21"/>
    <w:rsid w:val="00766897"/>
    <w:rsid w:val="007708EA"/>
    <w:rsid w:val="00772B4F"/>
    <w:rsid w:val="00774831"/>
    <w:rsid w:val="007754C2"/>
    <w:rsid w:val="00777D6E"/>
    <w:rsid w:val="00782527"/>
    <w:rsid w:val="00790826"/>
    <w:rsid w:val="00790B4B"/>
    <w:rsid w:val="007912B2"/>
    <w:rsid w:val="0079384A"/>
    <w:rsid w:val="00795C28"/>
    <w:rsid w:val="007961CC"/>
    <w:rsid w:val="007A30DE"/>
    <w:rsid w:val="007A3306"/>
    <w:rsid w:val="007A4A9D"/>
    <w:rsid w:val="007A5D96"/>
    <w:rsid w:val="007A79B3"/>
    <w:rsid w:val="007B0026"/>
    <w:rsid w:val="007B0DEE"/>
    <w:rsid w:val="007B0FE3"/>
    <w:rsid w:val="007B42B4"/>
    <w:rsid w:val="007B44F6"/>
    <w:rsid w:val="007B6BA5"/>
    <w:rsid w:val="007B7E48"/>
    <w:rsid w:val="007B7F98"/>
    <w:rsid w:val="007C1829"/>
    <w:rsid w:val="007C28CD"/>
    <w:rsid w:val="007C3390"/>
    <w:rsid w:val="007C4F4B"/>
    <w:rsid w:val="007C5E77"/>
    <w:rsid w:val="007E0033"/>
    <w:rsid w:val="007E1270"/>
    <w:rsid w:val="007E175A"/>
    <w:rsid w:val="007F4B0A"/>
    <w:rsid w:val="007F4E65"/>
    <w:rsid w:val="007F6611"/>
    <w:rsid w:val="00804F3E"/>
    <w:rsid w:val="00811D5B"/>
    <w:rsid w:val="00811F83"/>
    <w:rsid w:val="00814A9F"/>
    <w:rsid w:val="008242D7"/>
    <w:rsid w:val="008369D0"/>
    <w:rsid w:val="00840DF4"/>
    <w:rsid w:val="0085226B"/>
    <w:rsid w:val="00852D05"/>
    <w:rsid w:val="00854DCE"/>
    <w:rsid w:val="00860077"/>
    <w:rsid w:val="008617F0"/>
    <w:rsid w:val="00871C64"/>
    <w:rsid w:val="00891B49"/>
    <w:rsid w:val="00892AC9"/>
    <w:rsid w:val="008979B1"/>
    <w:rsid w:val="008A65F9"/>
    <w:rsid w:val="008A6B25"/>
    <w:rsid w:val="008A6C4F"/>
    <w:rsid w:val="008B05EE"/>
    <w:rsid w:val="008B0D96"/>
    <w:rsid w:val="008B2335"/>
    <w:rsid w:val="008B25F9"/>
    <w:rsid w:val="008B2A1A"/>
    <w:rsid w:val="008B4068"/>
    <w:rsid w:val="008B4238"/>
    <w:rsid w:val="008C00ED"/>
    <w:rsid w:val="008C4480"/>
    <w:rsid w:val="008C5324"/>
    <w:rsid w:val="008C6E31"/>
    <w:rsid w:val="008D40C3"/>
    <w:rsid w:val="008D4E11"/>
    <w:rsid w:val="008D518D"/>
    <w:rsid w:val="008D62C8"/>
    <w:rsid w:val="008D71A6"/>
    <w:rsid w:val="008E366A"/>
    <w:rsid w:val="008E3C80"/>
    <w:rsid w:val="008E6D0F"/>
    <w:rsid w:val="008F13E4"/>
    <w:rsid w:val="00900A2C"/>
    <w:rsid w:val="00900EB4"/>
    <w:rsid w:val="0090214C"/>
    <w:rsid w:val="009039EA"/>
    <w:rsid w:val="0090434C"/>
    <w:rsid w:val="00905FE1"/>
    <w:rsid w:val="00907683"/>
    <w:rsid w:val="00913571"/>
    <w:rsid w:val="009146E6"/>
    <w:rsid w:val="0091662B"/>
    <w:rsid w:val="009178B1"/>
    <w:rsid w:val="00917A9F"/>
    <w:rsid w:val="00920428"/>
    <w:rsid w:val="00921090"/>
    <w:rsid w:val="0092235E"/>
    <w:rsid w:val="009223CA"/>
    <w:rsid w:val="00930366"/>
    <w:rsid w:val="0093229A"/>
    <w:rsid w:val="0093336A"/>
    <w:rsid w:val="00933399"/>
    <w:rsid w:val="0093385A"/>
    <w:rsid w:val="00933E4E"/>
    <w:rsid w:val="00934508"/>
    <w:rsid w:val="00940F93"/>
    <w:rsid w:val="009521E4"/>
    <w:rsid w:val="00953A87"/>
    <w:rsid w:val="009547F5"/>
    <w:rsid w:val="00965A5F"/>
    <w:rsid w:val="009704DA"/>
    <w:rsid w:val="00972C14"/>
    <w:rsid w:val="00974F89"/>
    <w:rsid w:val="00976190"/>
    <w:rsid w:val="00985AD4"/>
    <w:rsid w:val="0099165E"/>
    <w:rsid w:val="009935BD"/>
    <w:rsid w:val="00994315"/>
    <w:rsid w:val="009A077B"/>
    <w:rsid w:val="009A1386"/>
    <w:rsid w:val="009A31D0"/>
    <w:rsid w:val="009A778C"/>
    <w:rsid w:val="009B0F0E"/>
    <w:rsid w:val="009B5247"/>
    <w:rsid w:val="009B63C6"/>
    <w:rsid w:val="009C14AA"/>
    <w:rsid w:val="009E286B"/>
    <w:rsid w:val="009E5EC1"/>
    <w:rsid w:val="009F7711"/>
    <w:rsid w:val="009F7C5D"/>
    <w:rsid w:val="00A01489"/>
    <w:rsid w:val="00A049C6"/>
    <w:rsid w:val="00A050CE"/>
    <w:rsid w:val="00A111BF"/>
    <w:rsid w:val="00A14097"/>
    <w:rsid w:val="00A22243"/>
    <w:rsid w:val="00A22FD4"/>
    <w:rsid w:val="00A25DF2"/>
    <w:rsid w:val="00A35F8B"/>
    <w:rsid w:val="00A3778F"/>
    <w:rsid w:val="00A44464"/>
    <w:rsid w:val="00A612EE"/>
    <w:rsid w:val="00A63BD0"/>
    <w:rsid w:val="00A65A51"/>
    <w:rsid w:val="00A6675A"/>
    <w:rsid w:val="00A67600"/>
    <w:rsid w:val="00A72F22"/>
    <w:rsid w:val="00A748A6"/>
    <w:rsid w:val="00A76382"/>
    <w:rsid w:val="00A776B4"/>
    <w:rsid w:val="00A94361"/>
    <w:rsid w:val="00A94BE3"/>
    <w:rsid w:val="00A95544"/>
    <w:rsid w:val="00A9599A"/>
    <w:rsid w:val="00AA0F25"/>
    <w:rsid w:val="00AA2016"/>
    <w:rsid w:val="00AA2F3D"/>
    <w:rsid w:val="00AA6530"/>
    <w:rsid w:val="00AB2017"/>
    <w:rsid w:val="00AB6CC6"/>
    <w:rsid w:val="00AB7ACB"/>
    <w:rsid w:val="00AC06D9"/>
    <w:rsid w:val="00AC0B46"/>
    <w:rsid w:val="00AC3820"/>
    <w:rsid w:val="00AC5A16"/>
    <w:rsid w:val="00AC6DD2"/>
    <w:rsid w:val="00AC7264"/>
    <w:rsid w:val="00AD0BDA"/>
    <w:rsid w:val="00AD2629"/>
    <w:rsid w:val="00AD4371"/>
    <w:rsid w:val="00AE25DB"/>
    <w:rsid w:val="00AE5984"/>
    <w:rsid w:val="00AE6188"/>
    <w:rsid w:val="00AF2F98"/>
    <w:rsid w:val="00AF640B"/>
    <w:rsid w:val="00AF78F6"/>
    <w:rsid w:val="00B0025A"/>
    <w:rsid w:val="00B0036A"/>
    <w:rsid w:val="00B04A5D"/>
    <w:rsid w:val="00B057F4"/>
    <w:rsid w:val="00B06775"/>
    <w:rsid w:val="00B11F67"/>
    <w:rsid w:val="00B222D6"/>
    <w:rsid w:val="00B30179"/>
    <w:rsid w:val="00B3155C"/>
    <w:rsid w:val="00B34245"/>
    <w:rsid w:val="00B37D21"/>
    <w:rsid w:val="00B42FD4"/>
    <w:rsid w:val="00B47B29"/>
    <w:rsid w:val="00B5084E"/>
    <w:rsid w:val="00B529B0"/>
    <w:rsid w:val="00B52D36"/>
    <w:rsid w:val="00B5349A"/>
    <w:rsid w:val="00B5401A"/>
    <w:rsid w:val="00B56E9C"/>
    <w:rsid w:val="00B60CAA"/>
    <w:rsid w:val="00B62E89"/>
    <w:rsid w:val="00B64B1F"/>
    <w:rsid w:val="00B65031"/>
    <w:rsid w:val="00B6553F"/>
    <w:rsid w:val="00B66238"/>
    <w:rsid w:val="00B662C5"/>
    <w:rsid w:val="00B730A2"/>
    <w:rsid w:val="00B80D8C"/>
    <w:rsid w:val="00B81E12"/>
    <w:rsid w:val="00BB0119"/>
    <w:rsid w:val="00BB27B2"/>
    <w:rsid w:val="00BB555E"/>
    <w:rsid w:val="00BB68B7"/>
    <w:rsid w:val="00BB69E0"/>
    <w:rsid w:val="00BC2A95"/>
    <w:rsid w:val="00BC3D66"/>
    <w:rsid w:val="00BC46C7"/>
    <w:rsid w:val="00BC74E9"/>
    <w:rsid w:val="00BC7ABB"/>
    <w:rsid w:val="00BD4FD5"/>
    <w:rsid w:val="00BD5BC0"/>
    <w:rsid w:val="00BE1F74"/>
    <w:rsid w:val="00BE37B8"/>
    <w:rsid w:val="00BE70A4"/>
    <w:rsid w:val="00BF17DE"/>
    <w:rsid w:val="00BF373F"/>
    <w:rsid w:val="00BF3DDB"/>
    <w:rsid w:val="00BF5828"/>
    <w:rsid w:val="00BF68A8"/>
    <w:rsid w:val="00C01149"/>
    <w:rsid w:val="00C01B9F"/>
    <w:rsid w:val="00C0406A"/>
    <w:rsid w:val="00C112A1"/>
    <w:rsid w:val="00C130A2"/>
    <w:rsid w:val="00C2060C"/>
    <w:rsid w:val="00C213A4"/>
    <w:rsid w:val="00C240F3"/>
    <w:rsid w:val="00C24BBB"/>
    <w:rsid w:val="00C2603B"/>
    <w:rsid w:val="00C274A5"/>
    <w:rsid w:val="00C30D6C"/>
    <w:rsid w:val="00C3206E"/>
    <w:rsid w:val="00C41938"/>
    <w:rsid w:val="00C463DD"/>
    <w:rsid w:val="00C4724C"/>
    <w:rsid w:val="00C51BCF"/>
    <w:rsid w:val="00C5456A"/>
    <w:rsid w:val="00C57FE4"/>
    <w:rsid w:val="00C60F86"/>
    <w:rsid w:val="00C61331"/>
    <w:rsid w:val="00C629A0"/>
    <w:rsid w:val="00C745C3"/>
    <w:rsid w:val="00C754FC"/>
    <w:rsid w:val="00C75FB9"/>
    <w:rsid w:val="00C77712"/>
    <w:rsid w:val="00C85C55"/>
    <w:rsid w:val="00C85E6A"/>
    <w:rsid w:val="00C95297"/>
    <w:rsid w:val="00C960A2"/>
    <w:rsid w:val="00C97731"/>
    <w:rsid w:val="00CA0EF6"/>
    <w:rsid w:val="00CA1691"/>
    <w:rsid w:val="00CB1A54"/>
    <w:rsid w:val="00CC00AC"/>
    <w:rsid w:val="00CC241E"/>
    <w:rsid w:val="00CC4EC6"/>
    <w:rsid w:val="00CC7FE0"/>
    <w:rsid w:val="00CD4DEE"/>
    <w:rsid w:val="00CD573D"/>
    <w:rsid w:val="00CE02D2"/>
    <w:rsid w:val="00CE285C"/>
    <w:rsid w:val="00CE3707"/>
    <w:rsid w:val="00CE42B9"/>
    <w:rsid w:val="00CE4A8F"/>
    <w:rsid w:val="00CE63DF"/>
    <w:rsid w:val="00CE7746"/>
    <w:rsid w:val="00CF255D"/>
    <w:rsid w:val="00CF3E17"/>
    <w:rsid w:val="00CF6746"/>
    <w:rsid w:val="00D0493B"/>
    <w:rsid w:val="00D0695E"/>
    <w:rsid w:val="00D1111C"/>
    <w:rsid w:val="00D11757"/>
    <w:rsid w:val="00D1198D"/>
    <w:rsid w:val="00D13150"/>
    <w:rsid w:val="00D16FA4"/>
    <w:rsid w:val="00D2031B"/>
    <w:rsid w:val="00D218CB"/>
    <w:rsid w:val="00D25FE2"/>
    <w:rsid w:val="00D319A3"/>
    <w:rsid w:val="00D32FE7"/>
    <w:rsid w:val="00D37B94"/>
    <w:rsid w:val="00D37CD3"/>
    <w:rsid w:val="00D43252"/>
    <w:rsid w:val="00D50DA0"/>
    <w:rsid w:val="00D51430"/>
    <w:rsid w:val="00D51E7F"/>
    <w:rsid w:val="00D60CCB"/>
    <w:rsid w:val="00D637FD"/>
    <w:rsid w:val="00D65FA8"/>
    <w:rsid w:val="00D73544"/>
    <w:rsid w:val="00D760B7"/>
    <w:rsid w:val="00D81BA4"/>
    <w:rsid w:val="00D83A72"/>
    <w:rsid w:val="00D86C02"/>
    <w:rsid w:val="00D9040E"/>
    <w:rsid w:val="00D908D2"/>
    <w:rsid w:val="00D949CF"/>
    <w:rsid w:val="00D96CB8"/>
    <w:rsid w:val="00D978C6"/>
    <w:rsid w:val="00DA0402"/>
    <w:rsid w:val="00DA1D56"/>
    <w:rsid w:val="00DA3C1C"/>
    <w:rsid w:val="00DA41F8"/>
    <w:rsid w:val="00DA4CBE"/>
    <w:rsid w:val="00DA7CFC"/>
    <w:rsid w:val="00DB2285"/>
    <w:rsid w:val="00DB48FD"/>
    <w:rsid w:val="00DB645C"/>
    <w:rsid w:val="00DC1634"/>
    <w:rsid w:val="00DC4A4F"/>
    <w:rsid w:val="00DC76E3"/>
    <w:rsid w:val="00DC7EE4"/>
    <w:rsid w:val="00DD01E0"/>
    <w:rsid w:val="00DD048C"/>
    <w:rsid w:val="00DD5918"/>
    <w:rsid w:val="00DE4C21"/>
    <w:rsid w:val="00DE6B9F"/>
    <w:rsid w:val="00DF2215"/>
    <w:rsid w:val="00DF2F48"/>
    <w:rsid w:val="00E006E6"/>
    <w:rsid w:val="00E010FF"/>
    <w:rsid w:val="00E03243"/>
    <w:rsid w:val="00E051BE"/>
    <w:rsid w:val="00E05428"/>
    <w:rsid w:val="00E05A19"/>
    <w:rsid w:val="00E067C7"/>
    <w:rsid w:val="00E07CA2"/>
    <w:rsid w:val="00E107DC"/>
    <w:rsid w:val="00E12179"/>
    <w:rsid w:val="00E12CD1"/>
    <w:rsid w:val="00E1428C"/>
    <w:rsid w:val="00E14DEF"/>
    <w:rsid w:val="00E26AA8"/>
    <w:rsid w:val="00E327DE"/>
    <w:rsid w:val="00E32AD9"/>
    <w:rsid w:val="00E447B3"/>
    <w:rsid w:val="00E47267"/>
    <w:rsid w:val="00E54D73"/>
    <w:rsid w:val="00E54E68"/>
    <w:rsid w:val="00E574B9"/>
    <w:rsid w:val="00E575D0"/>
    <w:rsid w:val="00E57908"/>
    <w:rsid w:val="00E64D08"/>
    <w:rsid w:val="00E711BF"/>
    <w:rsid w:val="00E71BC8"/>
    <w:rsid w:val="00E7260F"/>
    <w:rsid w:val="00E830EE"/>
    <w:rsid w:val="00E86845"/>
    <w:rsid w:val="00E876CB"/>
    <w:rsid w:val="00E95ABE"/>
    <w:rsid w:val="00E96616"/>
    <w:rsid w:val="00E96630"/>
    <w:rsid w:val="00EA0F6F"/>
    <w:rsid w:val="00EB159C"/>
    <w:rsid w:val="00EB1675"/>
    <w:rsid w:val="00EB6CC0"/>
    <w:rsid w:val="00EC2368"/>
    <w:rsid w:val="00EC2D37"/>
    <w:rsid w:val="00EC74B1"/>
    <w:rsid w:val="00ED0619"/>
    <w:rsid w:val="00ED290A"/>
    <w:rsid w:val="00ED32A3"/>
    <w:rsid w:val="00ED46FE"/>
    <w:rsid w:val="00ED5829"/>
    <w:rsid w:val="00ED7A2A"/>
    <w:rsid w:val="00EE15A7"/>
    <w:rsid w:val="00EE4721"/>
    <w:rsid w:val="00EE4D26"/>
    <w:rsid w:val="00EE694B"/>
    <w:rsid w:val="00EF1D7F"/>
    <w:rsid w:val="00EF22BF"/>
    <w:rsid w:val="00EF3721"/>
    <w:rsid w:val="00F01CBE"/>
    <w:rsid w:val="00F03A98"/>
    <w:rsid w:val="00F058AC"/>
    <w:rsid w:val="00F068E8"/>
    <w:rsid w:val="00F1501C"/>
    <w:rsid w:val="00F1522C"/>
    <w:rsid w:val="00F177C6"/>
    <w:rsid w:val="00F21D5E"/>
    <w:rsid w:val="00F3110E"/>
    <w:rsid w:val="00F34583"/>
    <w:rsid w:val="00F36B98"/>
    <w:rsid w:val="00F40045"/>
    <w:rsid w:val="00F504AA"/>
    <w:rsid w:val="00F504DF"/>
    <w:rsid w:val="00F54A2E"/>
    <w:rsid w:val="00F7326E"/>
    <w:rsid w:val="00F73F77"/>
    <w:rsid w:val="00F81534"/>
    <w:rsid w:val="00F83CF3"/>
    <w:rsid w:val="00F85E1E"/>
    <w:rsid w:val="00F908D1"/>
    <w:rsid w:val="00F91C6C"/>
    <w:rsid w:val="00F933A9"/>
    <w:rsid w:val="00F94E62"/>
    <w:rsid w:val="00F95472"/>
    <w:rsid w:val="00FA200B"/>
    <w:rsid w:val="00FA271C"/>
    <w:rsid w:val="00FA34C1"/>
    <w:rsid w:val="00FB16BC"/>
    <w:rsid w:val="00FB2048"/>
    <w:rsid w:val="00FB347A"/>
    <w:rsid w:val="00FB57AE"/>
    <w:rsid w:val="00FB632B"/>
    <w:rsid w:val="00FC37B5"/>
    <w:rsid w:val="00FC68B7"/>
    <w:rsid w:val="00FC7C94"/>
    <w:rsid w:val="00FD058C"/>
    <w:rsid w:val="00FD0744"/>
    <w:rsid w:val="00FD0992"/>
    <w:rsid w:val="00FD2167"/>
    <w:rsid w:val="00FD2BD3"/>
    <w:rsid w:val="00FE1588"/>
    <w:rsid w:val="00FF01D8"/>
    <w:rsid w:val="00FF5396"/>
    <w:rsid w:val="00FF73E1"/>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apple-style-span">
    <w:name w:val="apple-style-span"/>
    <w:rsid w:val="00E64D08"/>
    <w:rPr>
      <w:rFonts w:cs="Times New Roman"/>
    </w:rPr>
  </w:style>
  <w:style w:type="paragraph" w:styleId="BalloonText">
    <w:name w:val="Balloon Text"/>
    <w:basedOn w:val="Normal"/>
    <w:semiHidden/>
    <w:rsid w:val="007A79B3"/>
    <w:rPr>
      <w:rFonts w:ascii="Tahoma" w:hAnsi="Tahoma" w:cs="Tahoma"/>
      <w:sz w:val="16"/>
      <w:szCs w:val="16"/>
    </w:rPr>
  </w:style>
  <w:style w:type="character" w:styleId="CommentReference">
    <w:name w:val="annotation reference"/>
    <w:semiHidden/>
    <w:rsid w:val="001E7CBC"/>
    <w:rPr>
      <w:sz w:val="16"/>
      <w:szCs w:val="16"/>
    </w:rPr>
  </w:style>
  <w:style w:type="paragraph" w:styleId="CommentText">
    <w:name w:val="annotation text"/>
    <w:basedOn w:val="Normal"/>
    <w:semiHidden/>
    <w:rsid w:val="001E7CBC"/>
  </w:style>
  <w:style w:type="paragraph" w:styleId="CommentSubject">
    <w:name w:val="annotation subject"/>
    <w:basedOn w:val="CommentText"/>
    <w:next w:val="CommentText"/>
    <w:semiHidden/>
    <w:rsid w:val="001E7CBC"/>
    <w:rPr>
      <w:b/>
      <w:bCs/>
    </w:rPr>
  </w:style>
  <w:style w:type="paragraph" w:customStyle="1" w:styleId="SingleTxt">
    <w:name w:val="__Single Txt"/>
    <w:basedOn w:val="Normal"/>
    <w:rsid w:val="006778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9E5EC1"/>
    <w:rPr>
      <w:lang w:eastAsia="en-US"/>
    </w:rPr>
  </w:style>
  <w:style w:type="character" w:customStyle="1" w:styleId="H23GChar">
    <w:name w:val="_ H_2/3_G Char"/>
    <w:link w:val="H23G"/>
    <w:rsid w:val="00EF22BF"/>
    <w:rPr>
      <w:b/>
      <w:lang w:val="en-GB" w:eastAsia="en-US" w:bidi="ar-SA"/>
    </w:rPr>
  </w:style>
  <w:style w:type="character" w:customStyle="1" w:styleId="H1GChar">
    <w:name w:val="_ H_1_G Char"/>
    <w:link w:val="H1G"/>
    <w:rsid w:val="00FC37B5"/>
    <w:rPr>
      <w:b/>
      <w:sz w:val="24"/>
      <w:lang w:val="en-GB" w:eastAsia="en-US" w:bidi="ar-SA"/>
    </w:rPr>
  </w:style>
  <w:style w:type="character" w:customStyle="1" w:styleId="SingleTxtGChar">
    <w:name w:val="_ Single Txt_G Char"/>
    <w:link w:val="SingleTxtG"/>
    <w:rsid w:val="00774831"/>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2977</Words>
  <Characters>16971</Characters>
  <Application>Microsoft Office Outlook</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Ouko</dc:creator>
  <cp:keywords/>
  <cp:lastModifiedBy>UHRI Intern OHCHR</cp:lastModifiedBy>
  <cp:revision>2</cp:revision>
  <cp:lastPrinted>2011-05-12T10:48:00Z</cp:lastPrinted>
  <dcterms:created xsi:type="dcterms:W3CDTF">2011-07-04T10:36:00Z</dcterms:created>
  <dcterms:modified xsi:type="dcterms:W3CDTF">2011-07-04T10:36:00Z</dcterms:modified>
</cp:coreProperties>
</file>